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PlainText"/>
        <w:jc w:val="center"/>
        <w:rPr>
          <w:rFonts w:ascii="Times New Roman" w:hAnsi="Times New Roman"/>
          <w:color w:val="000000"/>
          <w:sz w:val="24"/>
          <w:szCs w:val="24"/>
        </w:rPr>
      </w:pPr>
      <w:r>
        <w:rPr>
          <w:rFonts w:ascii="Times New Roman" w:hAnsi="Times New Roman"/>
          <w:color w:val="000000"/>
          <w:sz w:val="24"/>
          <w:szCs w:val="24"/>
        </w:rPr>
      </w:r>
    </w:p>
    <w:p>
      <w:pPr>
        <w:pStyle w:val="PlainText"/>
        <w:ind w:left="0" w:firstLine="7371"/>
        <w:jc w:val="both"/>
        <w:rPr>
          <w:color w:val="000000"/>
        </w:rPr>
      </w:pPr>
      <w:r>
        <w:rPr>
          <w:rFonts w:ascii="Times New Roman" w:hAnsi="Times New Roman"/>
          <w:b/>
          <w:i/>
          <w:color w:val="000000"/>
          <w:sz w:val="24"/>
          <w:szCs w:val="24"/>
        </w:rPr>
        <w:t>ТИПОВОЙ ОБРАЗЕЦ</w:t>
      </w:r>
    </w:p>
    <w:p>
      <w:pPr>
        <w:pStyle w:val="PlainText"/>
        <w:ind w:left="0" w:hanging="0"/>
        <w:jc w:val="center"/>
        <w:rPr>
          <w:rFonts w:ascii="Times New Roman" w:hAnsi="Times New Roman"/>
          <w:color w:val="000000"/>
          <w:sz w:val="24"/>
          <w:szCs w:val="24"/>
        </w:rPr>
      </w:pPr>
      <w:r>
        <w:rPr>
          <w:rFonts w:ascii="Times New Roman" w:hAnsi="Times New Roman"/>
          <w:color w:val="000000"/>
          <w:sz w:val="24"/>
          <w:szCs w:val="24"/>
        </w:rPr>
      </w:r>
    </w:p>
    <w:p>
      <w:pPr>
        <w:pStyle w:val="PlainText"/>
        <w:ind w:left="0" w:hanging="0"/>
        <w:jc w:val="center"/>
        <w:rPr>
          <w:rFonts w:ascii="Times New Roman" w:hAnsi="Times New Roman"/>
          <w:color w:val="000000"/>
          <w:sz w:val="24"/>
          <w:szCs w:val="24"/>
        </w:rPr>
      </w:pPr>
      <w:r>
        <w:rPr>
          <w:rFonts w:ascii="Times New Roman" w:hAnsi="Times New Roman"/>
          <w:color w:val="000000"/>
          <w:sz w:val="24"/>
          <w:szCs w:val="24"/>
        </w:rPr>
      </w:r>
    </w:p>
    <w:p>
      <w:pPr>
        <w:pStyle w:val="PlainText"/>
        <w:ind w:left="0" w:hanging="0"/>
        <w:jc w:val="center"/>
        <w:rPr>
          <w:color w:val="000000"/>
        </w:rPr>
      </w:pPr>
      <w:r>
        <w:rPr>
          <w:rFonts w:ascii="Times New Roman" w:hAnsi="Times New Roman"/>
          <w:color w:val="000000"/>
          <w:sz w:val="24"/>
          <w:szCs w:val="24"/>
        </w:rPr>
        <w:t>ДОГОВОР № _______</w:t>
      </w:r>
    </w:p>
    <w:p>
      <w:pPr>
        <w:pStyle w:val="PlainText"/>
        <w:ind w:left="0" w:hanging="0"/>
        <w:jc w:val="center"/>
        <w:rPr>
          <w:color w:val="000000"/>
        </w:rPr>
      </w:pPr>
      <w:r>
        <w:rPr>
          <w:rFonts w:ascii="Times New Roman" w:hAnsi="Times New Roman"/>
          <w:color w:val="000000"/>
          <w:sz w:val="24"/>
          <w:szCs w:val="24"/>
        </w:rPr>
        <w:t>об охране  объекта</w:t>
      </w:r>
    </w:p>
    <w:p>
      <w:pPr>
        <w:pStyle w:val="PlainText"/>
        <w:jc w:val="center"/>
        <w:rPr>
          <w:rFonts w:ascii="Times New Roman" w:hAnsi="Times New Roman"/>
          <w:color w:val="000000"/>
          <w:sz w:val="24"/>
          <w:szCs w:val="24"/>
        </w:rPr>
      </w:pPr>
      <w:r>
        <w:rPr>
          <w:rFonts w:ascii="Times New Roman" w:hAnsi="Times New Roman"/>
          <w:color w:val="000000"/>
          <w:sz w:val="24"/>
          <w:szCs w:val="24"/>
        </w:rPr>
      </w:r>
    </w:p>
    <w:p>
      <w:pPr>
        <w:pStyle w:val="PlainText"/>
        <w:ind w:left="0" w:hanging="0"/>
        <w:rPr>
          <w:color w:val="000000"/>
        </w:rPr>
      </w:pPr>
      <w:r>
        <w:rPr>
          <w:rFonts w:ascii="Times New Roman" w:hAnsi="Times New Roman"/>
          <w:color w:val="000000"/>
          <w:sz w:val="24"/>
          <w:szCs w:val="24"/>
        </w:rPr>
        <w:t>«___» __________20___ г.                                                                                         г. ______________</w:t>
      </w:r>
    </w:p>
    <w:p>
      <w:pPr>
        <w:pStyle w:val="PlainText"/>
        <w:rPr>
          <w:rFonts w:ascii="Times New Roman" w:hAnsi="Times New Roman"/>
          <w:color w:val="000000"/>
          <w:sz w:val="24"/>
          <w:szCs w:val="24"/>
        </w:rPr>
      </w:pPr>
      <w:r>
        <w:rPr>
          <w:rFonts w:ascii="Times New Roman" w:hAnsi="Times New Roman"/>
          <w:color w:val="000000"/>
          <w:sz w:val="24"/>
          <w:szCs w:val="24"/>
        </w:rPr>
      </w:r>
    </w:p>
    <w:p>
      <w:pPr>
        <w:pStyle w:val="PlainText"/>
        <w:ind w:left="0" w:hanging="0"/>
        <w:jc w:val="both"/>
        <w:rPr>
          <w:color w:val="000000"/>
        </w:rPr>
      </w:pPr>
      <w:r>
        <w:rPr>
          <w:rFonts w:ascii="Times New Roman" w:hAnsi="Times New Roman"/>
          <w:color w:val="000000"/>
          <w:sz w:val="24"/>
          <w:szCs w:val="24"/>
        </w:rPr>
        <w:t xml:space="preserve">_______________________________________________________________________________________________________, именуемый в дальнейшем «Охрана»,  в лице начальника _______________________________________, действующего на основании Положения и доверенности № ___________ от _________________, с одной стороны, и ______________, действующий на основании ___________________________________ и именуемый в дальнейшем «Собственник», с другой стороны, </w:t>
      </w:r>
      <w:r>
        <w:rPr>
          <w:rFonts w:eastAsia="Times New Roman" w:ascii="Times New Roman" w:hAnsi="Times New Roman"/>
          <w:color w:val="000000"/>
          <w:sz w:val="24"/>
          <w:szCs w:val="24"/>
          <w:lang w:eastAsia="ru-RU"/>
        </w:rPr>
        <w:t xml:space="preserve">а вместе именуемые в дальнейшем «Стороны», </w:t>
      </w:r>
      <w:r>
        <w:rPr>
          <w:rFonts w:ascii="Times New Roman" w:hAnsi="Times New Roman"/>
          <w:color w:val="000000"/>
          <w:sz w:val="24"/>
          <w:szCs w:val="24"/>
        </w:rPr>
        <w:t>заключили настоящий договор о следующем:</w:t>
      </w:r>
    </w:p>
    <w:p>
      <w:pPr>
        <w:pStyle w:val="PlainText"/>
        <w:rPr>
          <w:color w:val="000000"/>
        </w:rPr>
      </w:pPr>
      <w:r>
        <w:rPr>
          <w:rFonts w:ascii="Times New Roman" w:hAnsi="Times New Roman"/>
          <w:color w:val="000000"/>
          <w:sz w:val="24"/>
          <w:szCs w:val="24"/>
        </w:rPr>
        <w:t xml:space="preserve">   </w:t>
      </w:r>
    </w:p>
    <w:p>
      <w:pPr>
        <w:pStyle w:val="PlainText"/>
        <w:ind w:left="0" w:hanging="0"/>
        <w:jc w:val="both"/>
        <w:rPr>
          <w:color w:val="000000"/>
        </w:rPr>
      </w:pPr>
      <w:r>
        <w:rPr>
          <w:rFonts w:ascii="Times New Roman" w:hAnsi="Times New Roman"/>
          <w:b/>
          <w:color w:val="000000"/>
          <w:sz w:val="24"/>
          <w:szCs w:val="24"/>
        </w:rPr>
        <w:t>1. Предмет договора</w:t>
      </w:r>
    </w:p>
    <w:p>
      <w:pPr>
        <w:pStyle w:val="PlainText"/>
        <w:ind w:left="0" w:hanging="0"/>
        <w:jc w:val="both"/>
        <w:rPr>
          <w:rFonts w:ascii="Times New Roman" w:hAnsi="Times New Roman"/>
          <w:color w:val="000000"/>
          <w:sz w:val="24"/>
          <w:szCs w:val="24"/>
        </w:rPr>
      </w:pPr>
      <w:r>
        <w:rPr>
          <w:rFonts w:ascii="Times New Roman" w:hAnsi="Times New Roman"/>
          <w:color w:val="000000"/>
          <w:sz w:val="24"/>
          <w:szCs w:val="24"/>
        </w:rPr>
      </w:r>
    </w:p>
    <w:p>
      <w:pPr>
        <w:pStyle w:val="PlainText"/>
        <w:ind w:left="0" w:hanging="0"/>
        <w:jc w:val="both"/>
        <w:rPr>
          <w:color w:val="000000"/>
        </w:rPr>
      </w:pPr>
      <w:r>
        <w:rPr>
          <w:rFonts w:ascii="Times New Roman" w:hAnsi="Times New Roman"/>
          <w:color w:val="000000"/>
          <w:sz w:val="24"/>
          <w:szCs w:val="24"/>
        </w:rPr>
        <w:t>1.1. Оказание «Охраной» охранных услуг «Собственнику» в зданиях, помещениях, их частях или комбинациях, оборудованных действующим комплексом технических средств охраны (далее «Объект»), указанным в акте обследования (Приложение №1 к настоящему Договору), который является неотъемлемой частью настоящего Договора. «Охрана» осуществляет надзор за техническим обслуживанием комплекса технических средств охраны (далее «Комплекс»), установленного на «Объекте» «Собственника».</w:t>
      </w:r>
    </w:p>
    <w:p>
      <w:pPr>
        <w:pStyle w:val="PlainText"/>
        <w:ind w:left="0" w:hanging="0"/>
        <w:jc w:val="both"/>
        <w:rPr>
          <w:color w:val="000000"/>
        </w:rPr>
      </w:pPr>
      <w:r>
        <w:rPr>
          <w:rFonts w:ascii="Times New Roman" w:hAnsi="Times New Roman"/>
          <w:color w:val="000000"/>
          <w:sz w:val="24"/>
          <w:szCs w:val="24"/>
        </w:rPr>
        <w:t>1.2.   Услуги, оказываемые «Охраной», заключаются:</w:t>
      </w:r>
    </w:p>
    <w:p>
      <w:pPr>
        <w:pStyle w:val="PlainText"/>
        <w:ind w:left="0" w:hanging="0"/>
        <w:jc w:val="both"/>
        <w:rPr>
          <w:color w:val="000000"/>
        </w:rPr>
      </w:pPr>
      <w:r>
        <w:rPr>
          <w:rFonts w:ascii="Times New Roman" w:hAnsi="Times New Roman"/>
          <w:color w:val="000000"/>
          <w:sz w:val="24"/>
          <w:szCs w:val="24"/>
        </w:rPr>
        <w:t>1.2.1. В приеме сообщений, формируемых установленным на «Объекте» «Комплексом» с помощью пульта централизованного наблюдения (далее ПЦН). Состав «Комплекса» и перечень защищаемых помещений указывается в Акте обследования (Приложение № 1 к настоящему Договору).</w:t>
      </w:r>
    </w:p>
    <w:p>
      <w:pPr>
        <w:pStyle w:val="PlainText"/>
        <w:ind w:left="0" w:hanging="0"/>
        <w:jc w:val="both"/>
        <w:rPr>
          <w:color w:val="000000"/>
        </w:rPr>
      </w:pPr>
      <w:r>
        <w:rPr>
          <w:rFonts w:ascii="Times New Roman" w:hAnsi="Times New Roman"/>
          <w:color w:val="000000"/>
          <w:sz w:val="24"/>
          <w:szCs w:val="24"/>
        </w:rPr>
        <w:t>1.2.2. В реагировании нарядами вневедомственной охраны войск национальной гвардии на поступающие с «Объекта» «тревожные» сообщения (в случае применения систем и информаторного принципа действия, под «тревожными» понимаются сообщения о проникновении, а также снятии «Объекта» с охраны с использованием кода снятия с охраны по принуждению).</w:t>
      </w:r>
    </w:p>
    <w:p>
      <w:pPr>
        <w:pStyle w:val="PlainText"/>
        <w:ind w:left="0" w:hanging="0"/>
        <w:jc w:val="both"/>
        <w:rPr>
          <w:rFonts w:ascii="Times New Roman" w:hAnsi="Times New Roman"/>
          <w:color w:val="000000"/>
          <w:sz w:val="24"/>
          <w:szCs w:val="24"/>
        </w:rPr>
      </w:pPr>
      <w:r>
        <w:rPr>
          <w:rFonts w:ascii="Times New Roman" w:hAnsi="Times New Roman"/>
          <w:color w:val="000000"/>
          <w:sz w:val="24"/>
          <w:szCs w:val="24"/>
        </w:rPr>
      </w:r>
    </w:p>
    <w:p>
      <w:pPr>
        <w:pStyle w:val="HTMLPreformatted"/>
        <w:rPr>
          <w:color w:val="000000"/>
        </w:rPr>
      </w:pPr>
      <w:r>
        <w:rPr>
          <w:rFonts w:ascii="Times New Roman" w:hAnsi="Times New Roman"/>
          <w:b/>
          <w:color w:val="000000"/>
          <w:sz w:val="24"/>
          <w:szCs w:val="24"/>
        </w:rPr>
        <w:t xml:space="preserve">2. Права и обязанности сторон </w:t>
      </w:r>
    </w:p>
    <w:p>
      <w:pPr>
        <w:pStyle w:val="PlainText"/>
        <w:ind w:left="0" w:hanging="0"/>
        <w:jc w:val="both"/>
        <w:rPr>
          <w:color w:val="000000"/>
        </w:rPr>
      </w:pPr>
      <w:r>
        <w:rPr>
          <w:rFonts w:ascii="Times New Roman" w:hAnsi="Times New Roman"/>
          <w:color w:val="000000"/>
          <w:sz w:val="24"/>
          <w:szCs w:val="24"/>
        </w:rPr>
        <w:t>2.1. «Охрана» обязуется:</w:t>
      </w:r>
    </w:p>
    <w:p>
      <w:pPr>
        <w:pStyle w:val="PlainText"/>
        <w:ind w:left="0" w:hanging="0"/>
        <w:jc w:val="both"/>
        <w:rPr>
          <w:color w:val="000000"/>
        </w:rPr>
      </w:pPr>
      <w:r>
        <w:rPr>
          <w:rFonts w:ascii="Times New Roman" w:hAnsi="Times New Roman"/>
          <w:color w:val="000000"/>
          <w:sz w:val="24"/>
          <w:szCs w:val="24"/>
        </w:rPr>
        <w:t>2.1.1. Осуществлять контроль ПЦН «Охраны» состояния средств сигнализации, на объектах, сданных в установленном порядке, в дни и часы, предусмотренные в Перечне объектов, передаваемых под охрану (Приложение №2 к настоящему договору) и при получении тревожного сообщения с «комплекса», обеспечить его регистрацию, направить мобильный наряд полиции к «Объекту», принять меры к задержанию лиц, совершивших противоправные действия.</w:t>
      </w:r>
    </w:p>
    <w:p>
      <w:pPr>
        <w:pStyle w:val="PlainText"/>
        <w:ind w:left="0" w:hanging="0"/>
        <w:jc w:val="both"/>
        <w:rPr>
          <w:color w:val="000000"/>
        </w:rPr>
      </w:pPr>
      <w:r>
        <w:rPr>
          <w:rFonts w:ascii="Times New Roman" w:hAnsi="Times New Roman"/>
          <w:color w:val="000000"/>
          <w:sz w:val="24"/>
          <w:szCs w:val="24"/>
        </w:rPr>
        <w:t>2.1.2. Осуществлять регистрацию и выезд по сигналу «Тревога» на «Объект» в дни и часы, указанные в прилагаемом к настоящему Договору перечне и при обнаружении признаков нарушения целостности «Объекта», сообщить об этом «Собственнику». Обеспечить, не проникая на «Объект», неприкосновенность места происшествия.</w:t>
      </w:r>
    </w:p>
    <w:p>
      <w:pPr>
        <w:pStyle w:val="PlainText"/>
        <w:ind w:left="0" w:hanging="0"/>
        <w:jc w:val="both"/>
        <w:rPr>
          <w:color w:val="000000"/>
        </w:rPr>
      </w:pPr>
      <w:r>
        <w:rPr>
          <w:rFonts w:ascii="Times New Roman" w:hAnsi="Times New Roman"/>
          <w:color w:val="000000"/>
          <w:sz w:val="24"/>
          <w:szCs w:val="24"/>
        </w:rPr>
        <w:t xml:space="preserve">2.1.3. Осуществлять оперативный контроль за техническим состоянием, обслуживанием «Комплекса», на объекте «Собственника».  Информировать «Собственника» о выявленных дефектах, неисправностях и давать предписания об их устранении. </w:t>
      </w:r>
    </w:p>
    <w:p>
      <w:pPr>
        <w:pStyle w:val="PlainText"/>
        <w:ind w:left="0" w:hanging="0"/>
        <w:jc w:val="both"/>
        <w:rPr>
          <w:color w:val="000000"/>
        </w:rPr>
      </w:pPr>
      <w:r>
        <w:rPr>
          <w:rFonts w:ascii="Times New Roman" w:hAnsi="Times New Roman"/>
          <w:color w:val="000000"/>
          <w:sz w:val="24"/>
          <w:szCs w:val="24"/>
        </w:rPr>
        <w:t>2.1.4. При наличии заявления «Собственника» о причиненном ущербе участвовать в определении размера ущерба и снятии остатков материальных ценностей.</w:t>
      </w:r>
    </w:p>
    <w:p>
      <w:pPr>
        <w:pStyle w:val="PlainText"/>
        <w:ind w:left="0" w:hanging="0"/>
        <w:jc w:val="both"/>
        <w:rPr>
          <w:color w:val="000000"/>
        </w:rPr>
      </w:pPr>
      <w:r>
        <w:rPr>
          <w:rFonts w:ascii="Times New Roman" w:hAnsi="Times New Roman"/>
          <w:color w:val="000000"/>
          <w:sz w:val="24"/>
          <w:szCs w:val="24"/>
        </w:rPr>
        <w:t>2.1.5. При внеурочном снятии с охраны «Объекта» штатными кодами пользователя, направлять к «Объекту» наряд вневедомственной охраны войск национальной гвардии.</w:t>
      </w:r>
    </w:p>
    <w:p>
      <w:pPr>
        <w:pStyle w:val="PlainText"/>
        <w:ind w:left="0" w:hanging="0"/>
        <w:jc w:val="both"/>
        <w:rPr>
          <w:color w:val="000000"/>
        </w:rPr>
      </w:pPr>
      <w:r>
        <w:rPr>
          <w:rFonts w:ascii="Times New Roman" w:hAnsi="Times New Roman"/>
          <w:color w:val="000000"/>
          <w:sz w:val="24"/>
          <w:szCs w:val="24"/>
        </w:rPr>
        <w:t>2.2.  «Собственник» обязуется:</w:t>
      </w:r>
    </w:p>
    <w:p>
      <w:pPr>
        <w:pStyle w:val="Normal"/>
        <w:shd w:val="clear" w:color="auto" w:fill="FFFFFF"/>
        <w:spacing w:before="0" w:after="0"/>
        <w:ind w:left="0" w:right="19" w:hanging="0"/>
        <w:jc w:val="both"/>
        <w:rPr>
          <w:color w:val="000000"/>
        </w:rPr>
      </w:pPr>
      <w:r>
        <w:rPr>
          <w:rFonts w:ascii="Times New Roman" w:hAnsi="Times New Roman"/>
          <w:color w:val="000000"/>
          <w:sz w:val="24"/>
          <w:szCs w:val="24"/>
        </w:rPr>
        <w:t>2.2.1. Для оформления договора «Собственник» предоставляет «Охране» уставные документы, документы на право пользования «Объектом», копию свидетельства о регистрации, реквизиты, исполнительскую и проектную документацию на «Комплекс». В течении срока действия договора «Собственник» ответственен за объективное и своевременное предоставление сведений о произошедших изменениях. В письменной форме сообщать о них «Охране» в течении 3-х (трех) календарных дней.</w:t>
      </w:r>
    </w:p>
    <w:p>
      <w:pPr>
        <w:pStyle w:val="Normal"/>
        <w:shd w:val="clear" w:color="auto" w:fill="FFFFFF"/>
        <w:spacing w:before="0" w:after="0"/>
        <w:ind w:left="0" w:right="17" w:hanging="0"/>
        <w:jc w:val="both"/>
        <w:rPr>
          <w:color w:val="000000"/>
        </w:rPr>
      </w:pPr>
      <w:r>
        <w:rPr>
          <w:rFonts w:ascii="Times New Roman" w:hAnsi="Times New Roman"/>
          <w:color w:val="000000"/>
          <w:sz w:val="24"/>
          <w:szCs w:val="24"/>
        </w:rPr>
        <w:t>2.2.2. Заключить договор на техническое обслуживание «Комплекса» с организацией, имеющей лицензию на проведение работ по монтажу, техническому обслуживанию и ремонту технических средств охраны. Объемы, содержание и порядок выполнения работ по техническому обслуживанию «Комплекса» определяются технической документацией на «Комплекс».  Копию договора по техническому обслуживанию «Комплекса» предоставить «Охране».</w:t>
      </w:r>
    </w:p>
    <w:p>
      <w:pPr>
        <w:pStyle w:val="PlainText"/>
        <w:ind w:left="0" w:hanging="0"/>
        <w:jc w:val="both"/>
        <w:rPr>
          <w:color w:val="000000"/>
        </w:rPr>
      </w:pPr>
      <w:r>
        <w:rPr>
          <w:rFonts w:ascii="Times New Roman" w:hAnsi="Times New Roman"/>
          <w:color w:val="000000"/>
          <w:sz w:val="24"/>
          <w:szCs w:val="24"/>
        </w:rPr>
        <w:t>2.2.3. Обеспечить осуществление технического обслуживания «Комплекса» в полном объеме.</w:t>
      </w:r>
    </w:p>
    <w:p>
      <w:pPr>
        <w:pStyle w:val="PlainText"/>
        <w:ind w:left="0" w:hanging="0"/>
        <w:jc w:val="both"/>
        <w:rPr>
          <w:color w:val="000000"/>
        </w:rPr>
      </w:pPr>
      <w:r>
        <w:rPr>
          <w:rFonts w:ascii="Times New Roman" w:hAnsi="Times New Roman"/>
          <w:color w:val="000000"/>
          <w:sz w:val="24"/>
          <w:szCs w:val="24"/>
        </w:rPr>
        <w:t>2.2.4. Незамедлительно   выполнять   предписания «Охраны» на устранение недостатков и неисправностей в работе «Комплекса».</w:t>
      </w:r>
    </w:p>
    <w:p>
      <w:pPr>
        <w:pStyle w:val="PlainText"/>
        <w:ind w:left="0" w:hanging="0"/>
        <w:jc w:val="both"/>
        <w:rPr>
          <w:color w:val="000000"/>
        </w:rPr>
      </w:pPr>
      <w:r>
        <w:rPr>
          <w:rFonts w:ascii="Times New Roman" w:hAnsi="Times New Roman"/>
          <w:color w:val="000000"/>
          <w:sz w:val="24"/>
          <w:szCs w:val="24"/>
        </w:rPr>
        <w:t>2.2.5. Незамедлительно выполнять определенные «Охраной» и отражаемые в Акте обследования «Объекта» (Приложение №1 к настоящему договору) мероприятия: по технической укрепленности «Объекта», его оборудованию средствами «Комплекса», по соблюдению условий хранения материальных ценностей.</w:t>
      </w:r>
    </w:p>
    <w:p>
      <w:pPr>
        <w:pStyle w:val="PlainText"/>
        <w:ind w:left="0" w:hanging="0"/>
        <w:jc w:val="both"/>
        <w:rPr>
          <w:color w:val="000000"/>
        </w:rPr>
      </w:pPr>
      <w:r>
        <w:rPr>
          <w:rFonts w:ascii="Times New Roman" w:hAnsi="Times New Roman"/>
          <w:color w:val="000000"/>
          <w:sz w:val="24"/>
          <w:szCs w:val="24"/>
        </w:rPr>
        <w:t>2.2.6. Предоставлять «Охране» данные о служебных, домашних, мобильных номерах телефонов, а также адресах доверенных лиц, которые могут поучаствовать в осмотре «Объекта», составлять с «Охраной» совместные акты. В трехдневный срок в письменной форме уведомлять «Охрану» о произошедших изменениях в указанных данных.</w:t>
      </w:r>
    </w:p>
    <w:p>
      <w:pPr>
        <w:pStyle w:val="PlainText"/>
        <w:ind w:left="0" w:hanging="0"/>
        <w:jc w:val="both"/>
        <w:rPr>
          <w:color w:val="000000"/>
        </w:rPr>
      </w:pPr>
      <w:r>
        <w:rPr>
          <w:rFonts w:ascii="Times New Roman" w:hAnsi="Times New Roman"/>
          <w:color w:val="000000"/>
          <w:sz w:val="24"/>
          <w:szCs w:val="24"/>
        </w:rPr>
        <w:t>2.2.7. При проведении на «Объекте» ремонта, перепланировки, переоборудования помещений, в случаях появления новых или изменения мест хранения ценностей, изменения режима или профиля работ, сдачи помещения (площадей) в аренду (субаренду) или передачи помещений другим лицам, а также при проведении иных мероприятий, которые могут повлиять на техническое состояние «Комплекса» и потребовать дополнительных мер по технической (инженерной) укрепленности «Объекта», уведомить об этом «Охрану» не позднее, чем за 15 дней до наступления таких изменений.</w:t>
      </w:r>
    </w:p>
    <w:p>
      <w:pPr>
        <w:pStyle w:val="PlainText"/>
        <w:ind w:left="0" w:hanging="0"/>
        <w:jc w:val="both"/>
        <w:rPr>
          <w:color w:val="000000"/>
        </w:rPr>
      </w:pPr>
      <w:r>
        <w:rPr>
          <w:rFonts w:ascii="Times New Roman" w:hAnsi="Times New Roman"/>
          <w:color w:val="000000"/>
          <w:sz w:val="24"/>
          <w:szCs w:val="24"/>
        </w:rPr>
        <w:t>2.2.8. Перед включением «Комплекса» в режим охраны проверять, чтобы на «Объекте» не остались люди, животные, включенные электроприборы, источники огня, запирать двери, окна, форточки, люки и т.д. на запорные и замковые устройства. Осуществлять внешний осмотр средств «Комплекса» на предмет наличия внешних повреждений, в случае обнаружения неисправностей уведомлять об этом «Охрану» немедленно.</w:t>
      </w:r>
    </w:p>
    <w:p>
      <w:pPr>
        <w:pStyle w:val="PlainText"/>
        <w:ind w:left="0" w:hanging="0"/>
        <w:jc w:val="both"/>
        <w:rPr>
          <w:color w:val="000000"/>
        </w:rPr>
      </w:pPr>
      <w:r>
        <w:rPr>
          <w:rFonts w:ascii="Times New Roman" w:hAnsi="Times New Roman"/>
          <w:color w:val="000000"/>
          <w:sz w:val="24"/>
          <w:szCs w:val="24"/>
        </w:rPr>
        <w:t>2.2.9. Не допускать к средствам «Комплекса»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Normal"/>
        <w:spacing w:before="0" w:after="0"/>
        <w:ind w:left="0" w:hanging="0"/>
        <w:contextualSpacing/>
        <w:jc w:val="both"/>
        <w:rPr>
          <w:color w:val="000000"/>
        </w:rPr>
      </w:pPr>
      <w:r>
        <w:rPr>
          <w:rFonts w:ascii="Times New Roman" w:hAnsi="Times New Roman"/>
          <w:color w:val="000000"/>
          <w:sz w:val="24"/>
          <w:szCs w:val="24"/>
        </w:rPr>
        <w:t>2.2.10. Обеспечить техническое обслуживание «Комплекса» с привлечением организации, имеющей соответствующие лицензии на данный вид деятельности.</w:t>
      </w:r>
    </w:p>
    <w:p>
      <w:pPr>
        <w:pStyle w:val="PlainText"/>
        <w:ind w:left="0" w:hanging="0"/>
        <w:jc w:val="both"/>
        <w:rPr>
          <w:color w:val="000000"/>
        </w:rPr>
      </w:pPr>
      <w:r>
        <w:rPr>
          <w:rFonts w:ascii="Times New Roman" w:hAnsi="Times New Roman"/>
          <w:color w:val="000000"/>
          <w:sz w:val="24"/>
          <w:szCs w:val="24"/>
        </w:rPr>
        <w:t xml:space="preserve">2.2.11. Денежные средства, оружие и боеприпасы, наркотические средства и яды, предметы антиквариата, драгоценные металлы и камни, а также изделия из них, часы в золотых, платиновых и серебряных корпусах, сотовые телефоны хранить в несгораемых сейфах или металлических шкафах, прикрепленных к полу в обособленных и специально оборудованных техническими средствами охраны помещениях.                                            </w:t>
      </w:r>
    </w:p>
    <w:p>
      <w:pPr>
        <w:pStyle w:val="PlainText"/>
        <w:ind w:left="0" w:hanging="0"/>
        <w:jc w:val="both"/>
        <w:rPr>
          <w:color w:val="000000"/>
        </w:rPr>
      </w:pPr>
      <w:r>
        <w:rPr>
          <w:rFonts w:ascii="Times New Roman" w:hAnsi="Times New Roman"/>
          <w:color w:val="000000"/>
          <w:sz w:val="24"/>
          <w:szCs w:val="24"/>
        </w:rPr>
        <w:t>2.2.12. В случаях обнаружения «Охраной» признаков проникновения на «Объект», а также при принятии «Охраной» мотивированного решения о необходимости осмотра и «перезакрытия» «Объекта», прибыть или обеспечить прибытие на «Объект» доверенного лица, в возможно короткий срок, но не позднее чем через два часа после получения сообщения.</w:t>
      </w:r>
    </w:p>
    <w:p>
      <w:pPr>
        <w:pStyle w:val="PlainText"/>
        <w:ind w:left="0" w:hanging="0"/>
        <w:jc w:val="both"/>
        <w:rPr>
          <w:color w:val="000000"/>
        </w:rPr>
      </w:pPr>
      <w:r>
        <w:rPr>
          <w:rFonts w:ascii="Times New Roman" w:hAnsi="Times New Roman"/>
          <w:color w:val="000000"/>
          <w:sz w:val="24"/>
          <w:szCs w:val="24"/>
        </w:rPr>
        <w:t>2.2.13. При обнаружении нарушения целостности «Объекта», факта кражи, уничтожения или повреждения имущества в результате проникновения на «Объект» посторонних лиц, сообщить об этом «Охране». До прибытия представителей «Охраны» обеспечить неприкосновенность места происшествия. По прибытии представителей «Охраны» на место происшествия произвести снятие остатков товарно-материальных ценностей, сопоставляемых с данными бухгалтерского учета на день происшествия.</w:t>
      </w:r>
    </w:p>
    <w:p>
      <w:pPr>
        <w:pStyle w:val="PlainText"/>
        <w:ind w:left="0" w:hanging="0"/>
        <w:jc w:val="both"/>
        <w:rPr>
          <w:color w:val="000000"/>
        </w:rPr>
      </w:pPr>
      <w:r>
        <w:rPr>
          <w:rFonts w:ascii="Times New Roman" w:hAnsi="Times New Roman"/>
          <w:color w:val="000000"/>
          <w:sz w:val="24"/>
          <w:szCs w:val="24"/>
        </w:rPr>
        <w:t xml:space="preserve">2.2.14.  Обеспечить исправность линий телефонной связи и сети электропитания, к которым подключено оборудование «Комплекса». </w:t>
      </w:r>
    </w:p>
    <w:p>
      <w:pPr>
        <w:pStyle w:val="PlainText"/>
        <w:ind w:left="0" w:hanging="0"/>
        <w:jc w:val="both"/>
        <w:rPr>
          <w:color w:val="000000"/>
        </w:rPr>
      </w:pPr>
      <w:r>
        <w:rPr>
          <w:rFonts w:ascii="Times New Roman" w:hAnsi="Times New Roman"/>
          <w:color w:val="000000"/>
          <w:sz w:val="24"/>
          <w:szCs w:val="24"/>
        </w:rPr>
        <w:t>2.2.15. Своевременно вносить абонентскую плату и оплачивать счета, выставляемые согласно условиям настоящего Договора.</w:t>
      </w:r>
    </w:p>
    <w:p>
      <w:pPr>
        <w:pStyle w:val="PlainText"/>
        <w:ind w:left="0" w:hanging="0"/>
        <w:jc w:val="both"/>
        <w:rPr>
          <w:color w:val="000000"/>
        </w:rPr>
      </w:pPr>
      <w:r>
        <w:rPr>
          <w:rFonts w:ascii="Times New Roman" w:hAnsi="Times New Roman"/>
          <w:color w:val="000000"/>
          <w:sz w:val="24"/>
          <w:szCs w:val="24"/>
        </w:rPr>
        <w:t xml:space="preserve">2.2.16.  Не разглашать посторонним лицам принципы и систему охраны «Объекта» и «Комплекса», а также присвоенные пультовые номера. </w:t>
      </w:r>
    </w:p>
    <w:p>
      <w:pPr>
        <w:pStyle w:val="PlainText"/>
        <w:ind w:left="0" w:hanging="0"/>
        <w:jc w:val="both"/>
        <w:rPr>
          <w:color w:val="000000"/>
        </w:rPr>
      </w:pPr>
      <w:r>
        <w:rPr>
          <w:rFonts w:ascii="Times New Roman" w:hAnsi="Times New Roman"/>
          <w:color w:val="000000"/>
          <w:sz w:val="24"/>
          <w:szCs w:val="24"/>
        </w:rPr>
        <w:t>2.2.17. При обнаружении нарушения целостности или неисправностей «Комплекса» ставить в известность «Охрану» для принятия необходимых мер.</w:t>
      </w:r>
    </w:p>
    <w:p>
      <w:pPr>
        <w:pStyle w:val="PlainText"/>
        <w:ind w:left="0" w:hanging="0"/>
        <w:jc w:val="both"/>
        <w:rPr>
          <w:color w:val="000000"/>
        </w:rPr>
      </w:pPr>
      <w:r>
        <w:rPr>
          <w:rFonts w:ascii="Times New Roman" w:hAnsi="Times New Roman"/>
          <w:color w:val="000000"/>
          <w:sz w:val="24"/>
          <w:szCs w:val="24"/>
        </w:rPr>
        <w:t>2.2.18. В случае реорганизации или ликвидации юридического лица в 10-тидневный срок, с момента принятия такого решения, сообщить об этом «Охране» в письменной форме и произвести расчеты за оказанные услуги.</w:t>
      </w:r>
    </w:p>
    <w:p>
      <w:pPr>
        <w:pStyle w:val="PlainText"/>
        <w:ind w:left="0" w:hanging="0"/>
        <w:jc w:val="both"/>
        <w:rPr>
          <w:color w:val="000000"/>
        </w:rPr>
      </w:pPr>
      <w:r>
        <w:rPr>
          <w:rFonts w:ascii="Times New Roman" w:hAnsi="Times New Roman"/>
          <w:color w:val="000000"/>
          <w:sz w:val="24"/>
          <w:szCs w:val="24"/>
        </w:rPr>
        <w:t>2.2.19. В случае необходимости открытия «Объекта» во внеурочное время, «Собственник» обязан проинформировать в телефонном режиме или иным способом дежурного пульта централизованной охраны (далее ПЦО) ___________________________________________.</w:t>
      </w:r>
    </w:p>
    <w:p>
      <w:pPr>
        <w:pStyle w:val="PlainText"/>
        <w:ind w:left="0" w:hanging="0"/>
        <w:jc w:val="both"/>
        <w:rPr>
          <w:color w:val="000000"/>
        </w:rPr>
      </w:pPr>
      <w:r>
        <w:rPr>
          <w:rFonts w:ascii="Times New Roman" w:hAnsi="Times New Roman"/>
          <w:color w:val="000000"/>
          <w:sz w:val="24"/>
          <w:szCs w:val="24"/>
        </w:rPr>
        <w:tab/>
        <w:tab/>
        <w:tab/>
        <w:tab/>
        <w:tab/>
        <w:tab/>
        <w:tab/>
        <w:t xml:space="preserve">     </w:t>
      </w:r>
      <w:bookmarkStart w:id="0" w:name="_GoBack"/>
      <w:r>
        <w:rPr>
          <w:rFonts w:ascii="Times New Roman" w:hAnsi="Times New Roman"/>
          <w:color w:val="000000"/>
          <w:sz w:val="16"/>
          <w:szCs w:val="16"/>
        </w:rPr>
        <w:t>(наименование филиала)</w:t>
      </w:r>
      <w:bookmarkEnd w:id="0"/>
      <w:r>
        <w:rPr>
          <w:rFonts w:ascii="Times New Roman" w:hAnsi="Times New Roman"/>
          <w:color w:val="000000"/>
          <w:sz w:val="16"/>
          <w:szCs w:val="16"/>
        </w:rPr>
        <w:tab/>
      </w:r>
    </w:p>
    <w:p>
      <w:pPr>
        <w:pStyle w:val="PlainText"/>
        <w:ind w:left="0" w:hanging="0"/>
        <w:jc w:val="both"/>
        <w:rPr>
          <w:color w:val="000000"/>
        </w:rPr>
      </w:pPr>
      <w:r>
        <w:rPr>
          <w:rFonts w:ascii="Times New Roman" w:hAnsi="Times New Roman"/>
          <w:color w:val="000000"/>
          <w:sz w:val="24"/>
          <w:szCs w:val="24"/>
        </w:rPr>
        <w:t>2.2.20. Возвращать «Охране» принадлежащее ей имущество в пятидневный срок после расторжения Договора.</w:t>
      </w:r>
    </w:p>
    <w:p>
      <w:pPr>
        <w:pStyle w:val="PlainText"/>
        <w:ind w:left="0" w:hanging="0"/>
        <w:jc w:val="both"/>
        <w:rPr>
          <w:rFonts w:ascii="Times New Roman" w:hAnsi="Times New Roman"/>
          <w:color w:val="000000"/>
          <w:sz w:val="24"/>
          <w:szCs w:val="24"/>
        </w:rPr>
      </w:pPr>
      <w:r>
        <w:rPr>
          <w:rFonts w:ascii="Times New Roman" w:hAnsi="Times New Roman"/>
          <w:color w:val="000000"/>
          <w:sz w:val="24"/>
          <w:szCs w:val="24"/>
        </w:rPr>
      </w:r>
    </w:p>
    <w:p>
      <w:pPr>
        <w:pStyle w:val="PlainText"/>
        <w:ind w:left="0" w:hanging="0"/>
        <w:rPr>
          <w:color w:val="000000"/>
        </w:rPr>
      </w:pPr>
      <w:r>
        <w:rPr>
          <w:rFonts w:ascii="Times New Roman" w:hAnsi="Times New Roman"/>
          <w:b/>
          <w:color w:val="000000"/>
          <w:sz w:val="24"/>
          <w:szCs w:val="24"/>
        </w:rPr>
        <w:t>3. Ответственность</w:t>
        <w:tab/>
        <w:t>сторон</w:t>
      </w:r>
    </w:p>
    <w:p>
      <w:pPr>
        <w:pStyle w:val="PlainText"/>
        <w:ind w:left="0" w:hanging="0"/>
        <w:jc w:val="both"/>
        <w:rPr>
          <w:color w:val="000000"/>
        </w:rPr>
      </w:pPr>
      <w:r>
        <w:rPr>
          <w:rFonts w:ascii="Times New Roman" w:hAnsi="Times New Roman"/>
          <w:color w:val="000000"/>
          <w:sz w:val="24"/>
          <w:szCs w:val="24"/>
        </w:rPr>
        <w:t xml:space="preserve"> </w:t>
      </w:r>
      <w:r>
        <w:rPr>
          <w:rFonts w:ascii="Times New Roman" w:hAnsi="Times New Roman"/>
          <w:color w:val="000000"/>
          <w:sz w:val="24"/>
          <w:szCs w:val="24"/>
        </w:rPr>
        <w:t xml:space="preserve">3.1. «Охрана» несет ответственность за ущерб, нанесенный «Собственнику» от кражи имущества в результате невыполнения или ненадлежащего выполнения «Охраной» своих обязательств по настоящему договору в размере прямого действительного ущерба.  </w:t>
      </w:r>
    </w:p>
    <w:p>
      <w:pPr>
        <w:pStyle w:val="PlainText"/>
        <w:ind w:left="0" w:hanging="0"/>
        <w:jc w:val="both"/>
        <w:rPr>
          <w:color w:val="000000"/>
        </w:rPr>
      </w:pPr>
      <w:r>
        <w:rPr>
          <w:rFonts w:ascii="Times New Roman" w:hAnsi="Times New Roman"/>
          <w:color w:val="000000"/>
          <w:sz w:val="24"/>
          <w:szCs w:val="24"/>
        </w:rPr>
        <w:t xml:space="preserve">3.2. Возмещение материального ущерба по п. 3.1.  «Охраной» производится исключительно после вступления в законную силу решения суда, подтверждающего вину «Охраны». Размер прямого действительного ущерба должен быть подтвержден расчетом стоимости похищенных, уничтоженных или поврежденных материальных ценностей, составленным с участием «Охраны» и сверенным с данными бухгалтерского учета. </w:t>
      </w:r>
    </w:p>
    <w:p>
      <w:pPr>
        <w:pStyle w:val="PlainText"/>
        <w:ind w:left="0" w:hanging="0"/>
        <w:jc w:val="both"/>
        <w:rPr>
          <w:color w:val="000000"/>
        </w:rPr>
      </w:pPr>
      <w:r>
        <w:rPr>
          <w:rFonts w:ascii="Times New Roman" w:hAnsi="Times New Roman"/>
          <w:color w:val="000000"/>
          <w:sz w:val="24"/>
          <w:szCs w:val="24"/>
        </w:rPr>
        <w:t>3.3. При возвращении «Собственнику» похищенного имущества, «Собственник» возвращает «Охране» денежные средства из общей суммы, полученной от нее в порядке возмещения ущерба, в срок, не превышающий 30 (тридцать) календарных дней со дня подписания Акта приема-сдачи имущества, составленного в присутствии представителя «Охраны».</w:t>
      </w:r>
    </w:p>
    <w:p>
      <w:pPr>
        <w:pStyle w:val="PlainText"/>
        <w:ind w:left="0" w:hanging="0"/>
        <w:jc w:val="both"/>
        <w:rPr>
          <w:color w:val="000000"/>
        </w:rPr>
      </w:pPr>
      <w:r>
        <w:rPr>
          <w:rFonts w:ascii="Times New Roman" w:hAnsi="Times New Roman"/>
          <w:color w:val="000000"/>
          <w:sz w:val="24"/>
          <w:szCs w:val="24"/>
        </w:rPr>
        <w:t>3.4. В случае неприбытия «Собственника» или его уполномоченного лица на «Объект» по вызову «Охраны» в сроки, указанные в п.2.2.12., «Собственник» выплачивает охране компенсацию в размере 30% от суммы ежемесячной абонентской платы по данному объекту.</w:t>
      </w:r>
    </w:p>
    <w:p>
      <w:pPr>
        <w:pStyle w:val="PlainText"/>
        <w:ind w:left="0" w:hanging="0"/>
        <w:jc w:val="both"/>
        <w:rPr>
          <w:color w:val="000000"/>
        </w:rPr>
      </w:pPr>
      <w:r>
        <w:rPr>
          <w:rFonts w:ascii="Times New Roman" w:hAnsi="Times New Roman"/>
          <w:color w:val="000000"/>
          <w:sz w:val="24"/>
          <w:szCs w:val="24"/>
        </w:rPr>
        <w:t>3.5. «Собственник» при нарушении обязательств, предусмотренных п.3.3 настоящего Договора уплачивает «Охране» пени в размере 1/300 действующей на день уплаты пени ставки рефинансирования ЦБ РФ от суммы просроченного платежа за каждый календарный день просрочки, начиная со дня следующего после дня истечения срока платежа до дня расторжения Договора.</w:t>
      </w:r>
    </w:p>
    <w:p>
      <w:pPr>
        <w:pStyle w:val="PlainText"/>
        <w:ind w:left="0" w:hanging="0"/>
        <w:jc w:val="both"/>
        <w:rPr>
          <w:rFonts w:ascii="Times New Roman" w:hAnsi="Times New Roman"/>
          <w:color w:val="000000"/>
          <w:sz w:val="24"/>
          <w:szCs w:val="24"/>
        </w:rPr>
      </w:pPr>
      <w:r>
        <w:rPr>
          <w:rFonts w:ascii="Times New Roman" w:hAnsi="Times New Roman"/>
          <w:color w:val="000000"/>
          <w:sz w:val="24"/>
          <w:szCs w:val="24"/>
        </w:rPr>
      </w:r>
    </w:p>
    <w:p>
      <w:pPr>
        <w:pStyle w:val="PlainText"/>
        <w:ind w:left="0" w:hanging="0"/>
        <w:jc w:val="both"/>
        <w:rPr>
          <w:color w:val="000000"/>
        </w:rPr>
      </w:pPr>
      <w:r>
        <w:rPr>
          <w:rFonts w:ascii="Times New Roman" w:hAnsi="Times New Roman"/>
          <w:b/>
          <w:color w:val="000000"/>
          <w:sz w:val="24"/>
          <w:szCs w:val="24"/>
        </w:rPr>
        <w:t>4.Обстоятельства, исключающие ответственность</w:t>
      </w:r>
    </w:p>
    <w:p>
      <w:pPr>
        <w:pStyle w:val="PlainText"/>
        <w:ind w:left="0" w:hanging="0"/>
        <w:jc w:val="both"/>
        <w:rPr>
          <w:color w:val="000000"/>
        </w:rPr>
      </w:pPr>
      <w:r>
        <w:rPr>
          <w:rFonts w:ascii="Times New Roman" w:hAnsi="Times New Roman"/>
          <w:color w:val="000000"/>
          <w:sz w:val="24"/>
          <w:szCs w:val="24"/>
        </w:rPr>
        <w:t>4.1. «Охрана» освобождается от ответственности в следующих случаях:</w:t>
      </w:r>
    </w:p>
    <w:p>
      <w:pPr>
        <w:pStyle w:val="PlainText"/>
        <w:ind w:left="0" w:hanging="0"/>
        <w:jc w:val="both"/>
        <w:rPr>
          <w:color w:val="000000"/>
        </w:rPr>
      </w:pPr>
      <w:r>
        <w:rPr>
          <w:rFonts w:ascii="Times New Roman" w:hAnsi="Times New Roman"/>
          <w:color w:val="000000"/>
          <w:sz w:val="24"/>
          <w:szCs w:val="24"/>
        </w:rPr>
        <w:t>4.1.1. При невыполнении «Собственником» обязательств по настоящему Договору (п.2.2. настоящего Договора) и/или несоблюдении требований по технической укрепленности объекта, предусмотренных в Акте обследования (Приложение № 1 к настоящему Договору), если действия (бездействия) «Собственника» повлекли за собой кражу, повреждение или уничтожение имущества.</w:t>
      </w:r>
    </w:p>
    <w:p>
      <w:pPr>
        <w:pStyle w:val="PlainText"/>
        <w:ind w:left="0" w:hanging="0"/>
        <w:jc w:val="both"/>
        <w:rPr>
          <w:color w:val="000000"/>
        </w:rPr>
      </w:pPr>
      <w:r>
        <w:rPr>
          <w:rFonts w:ascii="Times New Roman" w:hAnsi="Times New Roman"/>
          <w:color w:val="000000"/>
          <w:sz w:val="24"/>
          <w:szCs w:val="24"/>
        </w:rPr>
        <w:t>4.1.2. Проникновение совершено вовремя, когда «Комплекс» не был поставлен «Собственником» в режим охраны.</w:t>
      </w:r>
    </w:p>
    <w:p>
      <w:pPr>
        <w:pStyle w:val="PlainText"/>
        <w:ind w:left="0" w:hanging="0"/>
        <w:jc w:val="both"/>
        <w:rPr>
          <w:color w:val="000000"/>
        </w:rPr>
      </w:pPr>
      <w:r>
        <w:rPr>
          <w:rFonts w:ascii="Times New Roman" w:hAnsi="Times New Roman"/>
          <w:color w:val="000000"/>
          <w:sz w:val="24"/>
          <w:szCs w:val="24"/>
        </w:rPr>
        <w:t>4.1.3. Ущерб нанесен «Собственнику» в результате грабежа, разбойного нападения, пожара.</w:t>
      </w:r>
    </w:p>
    <w:p>
      <w:pPr>
        <w:pStyle w:val="PlainText"/>
        <w:ind w:left="0" w:hanging="0"/>
        <w:jc w:val="both"/>
        <w:rPr>
          <w:color w:val="000000"/>
        </w:rPr>
      </w:pPr>
      <w:r>
        <w:rPr>
          <w:rFonts w:ascii="Times New Roman" w:hAnsi="Times New Roman"/>
          <w:color w:val="000000"/>
          <w:sz w:val="24"/>
          <w:szCs w:val="24"/>
        </w:rPr>
        <w:t>4.1.4. Ущерб нанесен «Собственнику» в результате кражи, совершенной в период времени, когда охрана «Объекта» осуществляется только посредством тревожной и (или) пожарной сигнализации.</w:t>
      </w:r>
    </w:p>
    <w:p>
      <w:pPr>
        <w:pStyle w:val="PlainText"/>
        <w:ind w:left="0" w:hanging="0"/>
        <w:jc w:val="both"/>
        <w:rPr>
          <w:color w:val="000000"/>
        </w:rPr>
      </w:pPr>
      <w:r>
        <w:rPr>
          <w:rFonts w:ascii="Times New Roman" w:hAnsi="Times New Roman"/>
          <w:color w:val="000000"/>
          <w:sz w:val="24"/>
          <w:szCs w:val="24"/>
        </w:rPr>
        <w:t>4.1.5. Проникновение совершено через места, от защиты которых средствами технической укрепленности и блокировки средствами «Комплекса» «Собственник» отказался при обследовании «Объекта».</w:t>
      </w:r>
    </w:p>
    <w:p>
      <w:pPr>
        <w:pStyle w:val="PlainText"/>
        <w:ind w:left="0" w:hanging="0"/>
        <w:jc w:val="both"/>
        <w:rPr>
          <w:color w:val="000000"/>
        </w:rPr>
      </w:pPr>
      <w:r>
        <w:rPr>
          <w:rFonts w:ascii="Times New Roman" w:hAnsi="Times New Roman"/>
          <w:color w:val="000000"/>
          <w:sz w:val="24"/>
          <w:szCs w:val="24"/>
        </w:rPr>
        <w:t>4.1.6. Лица, проникшие на «Объект», задержаны сотрудниками полиции или сотрудниками вневедомственной охраны войск национальной гвардии.</w:t>
      </w:r>
    </w:p>
    <w:p>
      <w:pPr>
        <w:pStyle w:val="PlainText"/>
        <w:ind w:left="0" w:hanging="0"/>
        <w:jc w:val="both"/>
        <w:rPr>
          <w:color w:val="000000"/>
        </w:rPr>
      </w:pPr>
      <w:r>
        <w:rPr>
          <w:rFonts w:ascii="Times New Roman" w:hAnsi="Times New Roman"/>
          <w:color w:val="000000"/>
          <w:sz w:val="24"/>
          <w:szCs w:val="24"/>
        </w:rPr>
        <w:t>4.1.7. В случае кражи денежных средств, ценных бумаг, предметов антиквариата, оружия и боеприпасов, наркотических веществ, драгоценных металлов и камней, а также изделий из них, часов в золотых, платиновых и серебряных корпусах, сотовых телефонов, хранящиеся с нарушением условий п. 2.2.11. настоящего Договора.</w:t>
      </w:r>
    </w:p>
    <w:p>
      <w:pPr>
        <w:pStyle w:val="PlainText"/>
        <w:ind w:left="0" w:hanging="0"/>
        <w:jc w:val="both"/>
        <w:rPr>
          <w:color w:val="000000"/>
        </w:rPr>
      </w:pPr>
      <w:r>
        <w:rPr>
          <w:rFonts w:ascii="Times New Roman" w:hAnsi="Times New Roman"/>
          <w:color w:val="000000"/>
          <w:sz w:val="24"/>
          <w:szCs w:val="24"/>
        </w:rPr>
        <w:t>4.1.8. Ущерб, причинен преступником, если он проник в помещение до его закрытия и сдачу под охрану.</w:t>
      </w:r>
    </w:p>
    <w:p>
      <w:pPr>
        <w:pStyle w:val="PlainText"/>
        <w:ind w:left="0" w:hanging="0"/>
        <w:jc w:val="both"/>
        <w:rPr>
          <w:color w:val="000000"/>
        </w:rPr>
      </w:pPr>
      <w:r>
        <w:rPr>
          <w:rFonts w:ascii="Times New Roman" w:hAnsi="Times New Roman"/>
          <w:color w:val="000000"/>
          <w:sz w:val="24"/>
          <w:szCs w:val="24"/>
        </w:rPr>
        <w:t>4.1.9. Кража материальных ценностей, выставленных ближе 1.5 м. от наружных остекленных проемов помещений.</w:t>
      </w:r>
    </w:p>
    <w:p>
      <w:pPr>
        <w:pStyle w:val="PlainText"/>
        <w:ind w:left="0" w:hanging="0"/>
        <w:jc w:val="both"/>
        <w:rPr>
          <w:color w:val="000000"/>
        </w:rPr>
      </w:pPr>
      <w:r>
        <w:rPr>
          <w:rFonts w:ascii="Times New Roman" w:hAnsi="Times New Roman"/>
          <w:color w:val="000000"/>
          <w:sz w:val="24"/>
          <w:szCs w:val="24"/>
        </w:rPr>
        <w:t>4.1.10. Кража, по причине неисправности «Комплекса», а так же в случае постороннего вмешательства средства «Комплекса» и связанных с этим изменений в системе охраны объекта.</w:t>
      </w:r>
    </w:p>
    <w:p>
      <w:pPr>
        <w:pStyle w:val="PlainText"/>
        <w:ind w:left="0" w:hanging="0"/>
        <w:jc w:val="both"/>
        <w:rPr>
          <w:color w:val="000000"/>
        </w:rPr>
      </w:pPr>
      <w:r>
        <w:rPr>
          <w:rFonts w:ascii="Times New Roman" w:hAnsi="Times New Roman"/>
          <w:color w:val="000000"/>
          <w:sz w:val="24"/>
          <w:szCs w:val="24"/>
        </w:rPr>
        <w:t>4.1.11. «Охрана» не несет ответственность за личное имущество сотрудников «Собственника» и имущества сторонних организаций, а так же за денежные средства, оставленные на «Объекте» сверх суммы остатка, разрешенного кредитным учреждением.</w:t>
      </w:r>
    </w:p>
    <w:p>
      <w:pPr>
        <w:pStyle w:val="PlainText"/>
        <w:ind w:left="0" w:hanging="0"/>
        <w:jc w:val="both"/>
        <w:rPr>
          <w:color w:val="000000"/>
        </w:rPr>
      </w:pPr>
      <w:r>
        <w:rPr>
          <w:rFonts w:ascii="Times New Roman" w:hAnsi="Times New Roman"/>
          <w:color w:val="000000"/>
          <w:sz w:val="24"/>
          <w:szCs w:val="24"/>
        </w:rPr>
        <w:t>4.1.12. Охрана не несет ответственность за ущерб, причиненный конструкциям и деталям, расположенным по внешнему периметру объекта (замки, двери, окна, оконные, дверные и витринные стекла и иные конструкции).</w:t>
      </w:r>
    </w:p>
    <w:p>
      <w:pPr>
        <w:pStyle w:val="Normal"/>
        <w:spacing w:before="0" w:after="0"/>
        <w:ind w:left="0" w:hanging="0"/>
        <w:jc w:val="both"/>
        <w:rPr>
          <w:color w:val="000000"/>
        </w:rPr>
      </w:pPr>
      <w:r>
        <w:rPr>
          <w:rFonts w:ascii="Times New Roman" w:hAnsi="Times New Roman"/>
          <w:color w:val="000000"/>
          <w:sz w:val="24"/>
          <w:szCs w:val="24"/>
        </w:rPr>
        <w:t>4.1.13. При отсутствии у «Собственника» договора на техническое обслуживание «Комплекса».</w:t>
      </w:r>
    </w:p>
    <w:p>
      <w:pPr>
        <w:pStyle w:val="Normal"/>
        <w:spacing w:before="0" w:after="0"/>
        <w:ind w:left="0" w:hanging="0"/>
        <w:jc w:val="both"/>
        <w:rPr>
          <w:color w:val="000000"/>
        </w:rPr>
      </w:pPr>
      <w:r>
        <w:rPr>
          <w:rFonts w:ascii="Times New Roman" w:hAnsi="Times New Roman"/>
          <w:color w:val="000000"/>
          <w:sz w:val="24"/>
          <w:szCs w:val="24"/>
        </w:rPr>
        <w:t>4.1.14. Ущерб «Собственнику» причинен по вине организации, осуществляющей техническое обслуживание «Комплекса», а также из-за неисправности «Комплекса».</w:t>
      </w:r>
    </w:p>
    <w:p>
      <w:pPr>
        <w:pStyle w:val="Normal"/>
        <w:spacing w:before="0" w:after="0"/>
        <w:ind w:left="0" w:hanging="0"/>
        <w:jc w:val="both"/>
        <w:rPr>
          <w:color w:val="000000"/>
        </w:rPr>
      </w:pPr>
      <w:r>
        <w:rPr>
          <w:rFonts w:ascii="Times New Roman" w:hAnsi="Times New Roman"/>
          <w:color w:val="000000"/>
          <w:sz w:val="24"/>
          <w:szCs w:val="24"/>
        </w:rPr>
        <w:t>4.1.15. В случае неуведомления «Охраны» и осуществления сверки остатков материальных ценностей на объекте с данными бухгалтерского учета без участия «Охраны».</w:t>
      </w:r>
    </w:p>
    <w:p>
      <w:pPr>
        <w:pStyle w:val="PlainText"/>
        <w:tabs>
          <w:tab w:val="clear" w:pos="708"/>
          <w:tab w:val="left" w:pos="709" w:leader="none"/>
        </w:tabs>
        <w:ind w:left="0" w:hanging="0"/>
        <w:jc w:val="both"/>
        <w:rPr>
          <w:color w:val="000000"/>
        </w:rPr>
      </w:pPr>
      <w:r>
        <w:rPr>
          <w:rFonts w:ascii="Times New Roman" w:hAnsi="Times New Roman"/>
          <w:color w:val="000000"/>
          <w:sz w:val="24"/>
          <w:szCs w:val="24"/>
        </w:rPr>
        <w:t xml:space="preserve">4.1.16. Наличие обстоятельств непреодолимой силы («Форс-мажор»), непосредственно повлиявших на выполнение настоящего Договора, освобождает стороны от ответственности за его полное или частичное невыполнение.  </w:t>
      </w:r>
    </w:p>
    <w:p>
      <w:pPr>
        <w:pStyle w:val="PlainText"/>
        <w:ind w:left="0" w:hanging="0"/>
        <w:rPr>
          <w:color w:val="000000"/>
        </w:rPr>
      </w:pPr>
      <w:r>
        <w:rPr>
          <w:rFonts w:ascii="Times New Roman" w:hAnsi="Times New Roman"/>
          <w:color w:val="000000"/>
          <w:sz w:val="24"/>
          <w:szCs w:val="24"/>
        </w:rPr>
        <w:t xml:space="preserve">                                                                                                                                                                    </w:t>
      </w:r>
      <w:r>
        <w:rPr>
          <w:rFonts w:ascii="Times New Roman" w:hAnsi="Times New Roman"/>
          <w:b/>
          <w:color w:val="000000"/>
          <w:sz w:val="24"/>
          <w:szCs w:val="24"/>
        </w:rPr>
        <w:t xml:space="preserve">5.Порядок взаиморасчетов   </w:t>
      </w:r>
    </w:p>
    <w:p>
      <w:pPr>
        <w:pStyle w:val="PlainText"/>
        <w:ind w:left="0" w:hanging="0"/>
        <w:jc w:val="both"/>
        <w:rPr>
          <w:color w:val="000000"/>
        </w:rPr>
      </w:pPr>
      <w:r>
        <w:rPr>
          <w:rFonts w:ascii="Times New Roman" w:hAnsi="Times New Roman"/>
          <w:color w:val="000000"/>
          <w:sz w:val="24"/>
          <w:szCs w:val="24"/>
        </w:rPr>
        <w:t>5.1. Стоимость абонентской платы за услуги, оказываемые «Охраной», указываются в приложении №2 к настоящему Договору.</w:t>
      </w:r>
    </w:p>
    <w:p>
      <w:pPr>
        <w:pStyle w:val="Normal"/>
        <w:shd w:val="clear" w:color="auto" w:fill="FFFFFF"/>
        <w:spacing w:before="0" w:after="0"/>
        <w:ind w:left="0" w:right="5" w:hanging="0"/>
        <w:jc w:val="both"/>
        <w:rPr>
          <w:color w:val="000000"/>
        </w:rPr>
      </w:pPr>
      <w:r>
        <w:rPr>
          <w:rFonts w:ascii="Times New Roman" w:hAnsi="Times New Roman"/>
          <w:color w:val="000000"/>
          <w:sz w:val="24"/>
          <w:szCs w:val="24"/>
        </w:rPr>
        <w:t xml:space="preserve">5.2. Стоимость услуг «Охраны» НДС не облагается, в соответствии с </w:t>
      </w:r>
      <w:r>
        <w:rPr>
          <w:rFonts w:ascii="Times New Roman" w:hAnsi="Times New Roman"/>
          <w:color w:val="000000"/>
          <w:sz w:val="24"/>
          <w:szCs w:val="24"/>
        </w:rPr>
        <w:t xml:space="preserve">п.п.4 п.2 ст.146 </w:t>
      </w:r>
      <w:r>
        <w:rPr>
          <w:rFonts w:ascii="Times New Roman" w:hAnsi="Times New Roman"/>
          <w:color w:val="000000"/>
          <w:sz w:val="24"/>
          <w:szCs w:val="24"/>
        </w:rPr>
        <w:t>Налогового кодекса Российской Федерации.</w:t>
      </w:r>
    </w:p>
    <w:p>
      <w:pPr>
        <w:pStyle w:val="Normal"/>
        <w:shd w:val="clear" w:color="auto" w:fill="FFFFFF"/>
        <w:spacing w:before="0" w:after="0"/>
        <w:ind w:left="0" w:hanging="0"/>
        <w:jc w:val="both"/>
        <w:rPr>
          <w:color w:val="000000"/>
        </w:rPr>
      </w:pPr>
      <w:r>
        <w:rPr>
          <w:rFonts w:ascii="Times New Roman" w:hAnsi="Times New Roman"/>
          <w:color w:val="000000"/>
          <w:sz w:val="24"/>
          <w:szCs w:val="24"/>
        </w:rPr>
        <w:t>5.3. Абонентская плата «Охране» вносится (перечисляется) «</w:t>
      </w:r>
      <w:r>
        <w:rPr>
          <w:rFonts w:ascii="Times New Roman" w:hAnsi="Times New Roman"/>
          <w:color w:val="000000"/>
          <w:spacing w:val="-2"/>
          <w:sz w:val="24"/>
          <w:szCs w:val="24"/>
        </w:rPr>
        <w:t>Собственник</w:t>
      </w:r>
      <w:r>
        <w:rPr>
          <w:rFonts w:ascii="Times New Roman" w:hAnsi="Times New Roman"/>
          <w:color w:val="000000"/>
          <w:sz w:val="24"/>
          <w:szCs w:val="24"/>
        </w:rPr>
        <w:t xml:space="preserve">ом»: ежемесячно, </w:t>
      </w:r>
      <w:r>
        <w:rPr>
          <w:rFonts w:ascii="Times New Roman" w:hAnsi="Times New Roman"/>
          <w:color w:val="000000"/>
          <w:sz w:val="24"/>
          <w:szCs w:val="24"/>
        </w:rPr>
        <w:t>на основании подписанных сторонами акта-сдачи приемки выполненных услуг</w:t>
      </w:r>
      <w:r>
        <w:rPr>
          <w:rFonts w:ascii="Times New Roman" w:hAnsi="Times New Roman"/>
          <w:color w:val="000000"/>
          <w:sz w:val="24"/>
          <w:szCs w:val="24"/>
        </w:rPr>
        <w:t xml:space="preserve">, не зависимо от фактического времени нахождения «Комплекса» в режиме охраны, </w:t>
      </w:r>
      <w:r>
        <w:rPr>
          <w:rFonts w:ascii="Times New Roman" w:hAnsi="Times New Roman"/>
          <w:color w:val="000000"/>
          <w:sz w:val="24"/>
          <w:szCs w:val="24"/>
        </w:rPr>
        <w:t>путем авансового платежа до 20-го числа текущего месяца, в целях выполнения плана по доходам и недопущения образования дебиторской задолженности</w:t>
      </w:r>
      <w:r>
        <w:rPr>
          <w:rFonts w:ascii="Times New Roman" w:hAnsi="Times New Roman"/>
          <w:color w:val="000000"/>
          <w:sz w:val="24"/>
          <w:szCs w:val="24"/>
        </w:rPr>
        <w:t>. Фактом оплаты признается поступление денежных средств на расчетный счет получателя.</w:t>
      </w:r>
    </w:p>
    <w:p>
      <w:pPr>
        <w:pStyle w:val="Normal"/>
        <w:shd w:val="clear" w:color="auto" w:fill="FFFFFF"/>
        <w:spacing w:before="0" w:after="0"/>
        <w:ind w:left="0" w:hanging="0"/>
        <w:jc w:val="both"/>
        <w:rPr>
          <w:color w:val="000000"/>
        </w:rPr>
      </w:pPr>
      <w:r>
        <w:rPr>
          <w:rFonts w:ascii="Times New Roman" w:hAnsi="Times New Roman"/>
          <w:color w:val="000000"/>
          <w:sz w:val="24"/>
          <w:szCs w:val="24"/>
        </w:rPr>
        <w:t>5.4. В случае неподписания акта-сдачи приемки выполненных услуг, непредьявления возражения и претензий по качеству, объему и стоимости услуг, непредоставления мотивированного отказа от подписания акта сдачи-приемки выполненных услуг в трехдневный срок, услуги считаются оказанными.</w:t>
      </w:r>
    </w:p>
    <w:p>
      <w:pPr>
        <w:pStyle w:val="PlainText"/>
        <w:ind w:left="0" w:hanging="0"/>
        <w:jc w:val="both"/>
        <w:rPr>
          <w:color w:val="000000"/>
        </w:rPr>
      </w:pPr>
      <w:r>
        <w:rPr>
          <w:rFonts w:ascii="Times New Roman" w:hAnsi="Times New Roman"/>
          <w:color w:val="000000"/>
          <w:sz w:val="24"/>
          <w:szCs w:val="24"/>
        </w:rPr>
        <w:t>5.5 Тарифы на услуги могут быть изменены «Охраной» при изменении индекса цен или расходов на содержание «Охраны». Отказ или уклонение «Собственника» от принятия нового тарифа в предлагаемые сроки рассматривается как предложение «Собственника» о расторжении настоящего договора.</w:t>
      </w:r>
    </w:p>
    <w:p>
      <w:pPr>
        <w:pStyle w:val="PlainText"/>
        <w:ind w:left="0" w:hanging="0"/>
        <w:jc w:val="both"/>
        <w:rPr>
          <w:color w:val="000000"/>
        </w:rPr>
      </w:pPr>
      <w:r>
        <w:rPr>
          <w:rFonts w:ascii="Times New Roman" w:hAnsi="Times New Roman"/>
          <w:color w:val="000000"/>
          <w:sz w:val="24"/>
          <w:szCs w:val="24"/>
        </w:rPr>
        <w:t xml:space="preserve">     </w:t>
      </w:r>
      <w:r>
        <w:rPr>
          <w:rFonts w:ascii="Times New Roman" w:hAnsi="Times New Roman"/>
          <w:color w:val="000000"/>
          <w:sz w:val="24"/>
          <w:szCs w:val="24"/>
        </w:rPr>
        <w:t>При увеличении расходов на содержание «Охраны», обусловленном федеральными законами, нормативно правовыми актами Президента РФ, Правительства РФ и органов местной власти, вновь установленный тариф принимается «Собственником» для расчетов с «Охраной» со дня вступления в силу нормативного акта, обосновывающего такое изменение тарифа. Об изменении тарифов на охранные услуги «Охрана» информирует «Собственника» в средствах массовой информации или в интернет сети по адресу:</w:t>
      </w:r>
      <w:r>
        <w:rPr>
          <w:rFonts w:ascii="Times New Roman" w:hAnsi="Times New Roman"/>
          <w:color w:val="000000"/>
          <w:sz w:val="24"/>
          <w:szCs w:val="24"/>
          <w:u w:val="single"/>
          <w:lang w:val="en-US"/>
        </w:rPr>
        <w:t>www</w:t>
      </w:r>
      <w:r>
        <w:rPr>
          <w:rFonts w:ascii="Times New Roman" w:hAnsi="Times New Roman"/>
          <w:color w:val="000000"/>
          <w:sz w:val="24"/>
          <w:szCs w:val="24"/>
          <w:u w:val="single"/>
        </w:rPr>
        <w:t>.</w:t>
      </w:r>
      <w:r>
        <w:rPr>
          <w:rFonts w:ascii="Times New Roman" w:hAnsi="Times New Roman"/>
          <w:color w:val="000000"/>
          <w:sz w:val="24"/>
          <w:szCs w:val="24"/>
          <w:u w:val="single"/>
          <w:lang w:val="en-US"/>
        </w:rPr>
        <w:t>uvo</w:t>
      </w:r>
      <w:r>
        <w:rPr>
          <w:rFonts w:ascii="Times New Roman" w:hAnsi="Times New Roman"/>
          <w:color w:val="000000"/>
          <w:sz w:val="24"/>
          <w:szCs w:val="24"/>
          <w:u w:val="single"/>
        </w:rPr>
        <w:t>-</w:t>
      </w:r>
      <w:r>
        <w:rPr>
          <w:rFonts w:ascii="Times New Roman" w:hAnsi="Times New Roman"/>
          <w:color w:val="000000"/>
          <w:sz w:val="24"/>
          <w:szCs w:val="24"/>
          <w:u w:val="single"/>
          <w:lang w:val="en-US"/>
        </w:rPr>
        <w:t>alania</w:t>
      </w:r>
      <w:r>
        <w:rPr>
          <w:rFonts w:ascii="Times New Roman" w:hAnsi="Times New Roman"/>
          <w:color w:val="000000"/>
          <w:sz w:val="24"/>
          <w:szCs w:val="24"/>
          <w:u w:val="single"/>
        </w:rPr>
        <w:t>.</w:t>
      </w:r>
      <w:r>
        <w:rPr>
          <w:rFonts w:ascii="Times New Roman" w:hAnsi="Times New Roman"/>
          <w:color w:val="000000"/>
          <w:sz w:val="24"/>
          <w:szCs w:val="24"/>
          <w:u w:val="single"/>
          <w:lang w:val="en-US"/>
        </w:rPr>
        <w:t>ru</w:t>
      </w:r>
      <w:r>
        <w:rPr>
          <w:rFonts w:ascii="Times New Roman" w:hAnsi="Times New Roman"/>
          <w:color w:val="000000"/>
          <w:sz w:val="24"/>
          <w:szCs w:val="24"/>
        </w:rPr>
        <w:t>.</w:t>
      </w:r>
    </w:p>
    <w:p>
      <w:pPr>
        <w:pStyle w:val="PlainText"/>
        <w:ind w:left="0" w:hanging="0"/>
        <w:jc w:val="both"/>
        <w:rPr>
          <w:color w:val="000000"/>
        </w:rPr>
      </w:pPr>
      <w:r>
        <w:rPr>
          <w:rFonts w:ascii="Times New Roman" w:hAnsi="Times New Roman"/>
          <w:color w:val="000000"/>
          <w:sz w:val="24"/>
          <w:szCs w:val="24"/>
        </w:rPr>
        <w:t xml:space="preserve">5.6. В случае несвоевременной оплаты «Собственником» услуг по настоящему Договору «Охрана» вправе начислять пени в размере 1/300 ставки рефинансирования ЦБ РФ действующей на день возникновения суммы просроченного платежа за каждый календарный день просрочки. </w:t>
      </w:r>
    </w:p>
    <w:p>
      <w:pPr>
        <w:pStyle w:val="PlainText"/>
        <w:ind w:left="0" w:hanging="0"/>
        <w:jc w:val="both"/>
        <w:rPr>
          <w:color w:val="000000"/>
        </w:rPr>
      </w:pPr>
      <w:r>
        <w:rPr>
          <w:rFonts w:ascii="Times New Roman" w:hAnsi="Times New Roman"/>
          <w:color w:val="000000"/>
          <w:sz w:val="24"/>
          <w:szCs w:val="24"/>
        </w:rPr>
        <w:t>5.7. Оплата «Охране» за период действия Договора, с момента его вступления в силу до окончания первого календарного месяца, производится вместе с платежом за следующий месяц до 5 числа месяца, следующего за оплачиваемым периодом, с момента вступления в силу настоящего Договора. Размер оплаты, при этом, рассчитывается пропорционально количеству дней в указанном периоде.</w:t>
      </w:r>
    </w:p>
    <w:p>
      <w:pPr>
        <w:pStyle w:val="PlainText"/>
        <w:ind w:left="0" w:hanging="0"/>
        <w:jc w:val="both"/>
        <w:rPr>
          <w:color w:val="000000"/>
        </w:rPr>
      </w:pPr>
      <w:r>
        <w:rPr>
          <w:rFonts w:ascii="Times New Roman" w:hAnsi="Times New Roman"/>
          <w:color w:val="000000"/>
          <w:sz w:val="24"/>
          <w:szCs w:val="24"/>
        </w:rPr>
        <w:t>5.8. В период приостановления действия настоящего договора по причине ненадлежащего исполнения со стороны «Собственника» своих договорных обязанностей, «Собственник» обязан погасить задолженность по оплате. В соответствии с п. 2 ст. 781 ГК РФ перерасчет оплаты за период приостановления действия Договора не производится.</w:t>
      </w:r>
    </w:p>
    <w:p>
      <w:pPr>
        <w:pStyle w:val="Normal"/>
        <w:shd w:val="clear" w:color="auto" w:fill="FFFFFF"/>
        <w:tabs>
          <w:tab w:val="clear" w:pos="708"/>
          <w:tab w:val="left" w:pos="1046" w:leader="none"/>
        </w:tabs>
        <w:spacing w:before="0" w:after="0"/>
        <w:ind w:left="0" w:hanging="0"/>
        <w:jc w:val="both"/>
        <w:rPr>
          <w:color w:val="000000"/>
        </w:rPr>
      </w:pPr>
      <w:r>
        <w:rPr>
          <w:rFonts w:ascii="Times New Roman" w:hAnsi="Times New Roman"/>
          <w:color w:val="000000"/>
          <w:sz w:val="24"/>
          <w:szCs w:val="24"/>
        </w:rPr>
        <w:t xml:space="preserve">5.9. </w:t>
      </w:r>
      <w:r>
        <w:rPr>
          <w:rFonts w:ascii="Times New Roman" w:hAnsi="Times New Roman"/>
          <w:color w:val="000000"/>
          <w:spacing w:val="-1"/>
          <w:sz w:val="24"/>
          <w:szCs w:val="24"/>
        </w:rPr>
        <w:t xml:space="preserve">За неправильные действия «Собственника» по управлению «Комплексом», повлекшие за </w:t>
      </w:r>
      <w:r>
        <w:rPr>
          <w:rFonts w:ascii="Times New Roman" w:hAnsi="Times New Roman"/>
          <w:color w:val="000000"/>
          <w:spacing w:val="4"/>
          <w:sz w:val="24"/>
          <w:szCs w:val="24"/>
        </w:rPr>
        <w:t xml:space="preserve">собой «ложный» выезд наряда </w:t>
      </w:r>
      <w:r>
        <w:rPr>
          <w:rFonts w:ascii="Times New Roman" w:hAnsi="Times New Roman"/>
          <w:color w:val="000000"/>
          <w:sz w:val="24"/>
          <w:szCs w:val="24"/>
        </w:rPr>
        <w:t>вневедомственной охраны войск национальной гвардии</w:t>
      </w:r>
      <w:r>
        <w:rPr>
          <w:rFonts w:ascii="Times New Roman" w:hAnsi="Times New Roman"/>
          <w:color w:val="000000"/>
          <w:spacing w:val="4"/>
          <w:sz w:val="24"/>
          <w:szCs w:val="24"/>
        </w:rPr>
        <w:t>, «Собственник» выплачивает «Охране»</w:t>
      </w:r>
      <w:r>
        <w:rPr>
          <w:rFonts w:ascii="Times New Roman" w:hAnsi="Times New Roman"/>
          <w:color w:val="000000"/>
          <w:spacing w:val="-2"/>
          <w:sz w:val="24"/>
          <w:szCs w:val="24"/>
        </w:rPr>
        <w:t xml:space="preserve"> компенсацию, указанную в Приложении №2 к настоящему Договору.</w:t>
      </w:r>
    </w:p>
    <w:p>
      <w:pPr>
        <w:pStyle w:val="PlainText"/>
        <w:ind w:left="0" w:hanging="0"/>
        <w:jc w:val="both"/>
        <w:rPr>
          <w:color w:val="000000"/>
        </w:rPr>
      </w:pPr>
      <w:r>
        <w:rPr>
          <w:rFonts w:ascii="Times New Roman" w:hAnsi="Times New Roman"/>
          <w:color w:val="000000"/>
          <w:sz w:val="24"/>
          <w:szCs w:val="24"/>
        </w:rPr>
        <w:t>5.10. В случае досрочного расторжения настоящего Договора, Сторонами проводится взаиморасчеты, исходя из стоимости фактически оказанных услуг на момент расторжения Договора.</w:t>
      </w:r>
    </w:p>
    <w:p>
      <w:pPr>
        <w:pStyle w:val="PlainText"/>
        <w:ind w:left="0" w:hanging="0"/>
        <w:rPr>
          <w:rFonts w:ascii="Times New Roman" w:hAnsi="Times New Roman"/>
          <w:color w:val="000000"/>
          <w:sz w:val="24"/>
          <w:szCs w:val="24"/>
        </w:rPr>
      </w:pPr>
      <w:r>
        <w:rPr>
          <w:rFonts w:ascii="Times New Roman" w:hAnsi="Times New Roman"/>
          <w:color w:val="000000"/>
          <w:sz w:val="24"/>
          <w:szCs w:val="24"/>
        </w:rPr>
      </w:r>
    </w:p>
    <w:p>
      <w:pPr>
        <w:pStyle w:val="PlainText"/>
        <w:ind w:left="0" w:hanging="0"/>
        <w:rPr>
          <w:color w:val="000000"/>
        </w:rPr>
      </w:pPr>
      <w:r>
        <w:rPr>
          <w:rFonts w:ascii="Times New Roman" w:hAnsi="Times New Roman"/>
          <w:b/>
          <w:color w:val="000000"/>
          <w:sz w:val="24"/>
          <w:szCs w:val="24"/>
        </w:rPr>
        <w:t>6. Действие договора</w:t>
      </w:r>
    </w:p>
    <w:p>
      <w:pPr>
        <w:pStyle w:val="PlainText"/>
        <w:ind w:left="0" w:hanging="0"/>
        <w:jc w:val="both"/>
        <w:rPr>
          <w:color w:val="000000"/>
        </w:rPr>
      </w:pPr>
      <w:r>
        <w:rPr>
          <w:rFonts w:ascii="Times New Roman" w:hAnsi="Times New Roman"/>
          <w:color w:val="000000"/>
          <w:sz w:val="24"/>
          <w:szCs w:val="24"/>
        </w:rPr>
        <w:t>6.1. Настоящий Договор заключается сроком на один год. Вступает в силу с момента подписания его обеими сторонами и распространяет свое действие на правоотношения, фактически возникшие с «____» _______20__г.</w:t>
      </w:r>
    </w:p>
    <w:p>
      <w:pPr>
        <w:pStyle w:val="PlainText"/>
        <w:ind w:left="0" w:hanging="0"/>
        <w:jc w:val="both"/>
        <w:rPr>
          <w:color w:val="000000"/>
        </w:rPr>
      </w:pPr>
      <w:r>
        <w:rPr>
          <w:rFonts w:ascii="Times New Roman" w:hAnsi="Times New Roman"/>
          <w:color w:val="000000"/>
          <w:sz w:val="24"/>
          <w:szCs w:val="24"/>
        </w:rPr>
        <w:t>6.2. Если за один месяц до истечения срока действия настоящего Договора ни одна из Сторон не потребует его прекращения, Договор считается автоматически продленным на прежних условиях и на тот же срок. Дальнейшая пролонгация настоящего Договора осуществляется в том же порядке.</w:t>
      </w:r>
    </w:p>
    <w:p>
      <w:pPr>
        <w:pStyle w:val="PlainText"/>
        <w:ind w:left="0" w:hanging="0"/>
        <w:jc w:val="both"/>
        <w:rPr>
          <w:color w:val="000000"/>
        </w:rPr>
      </w:pPr>
      <w:r>
        <w:rPr>
          <w:rFonts w:ascii="Times New Roman" w:hAnsi="Times New Roman"/>
          <w:color w:val="000000"/>
          <w:sz w:val="24"/>
          <w:szCs w:val="24"/>
        </w:rPr>
        <w:t>6.3. Стороны вправе расторгнуть настоящий Договор досрочно. При этом, заинтересованная в расторжении сторона, письменно уведомляет об этом другую сторону за 15 дней.</w:t>
      </w:r>
    </w:p>
    <w:p>
      <w:pPr>
        <w:pStyle w:val="PlainText"/>
        <w:ind w:left="0" w:hanging="0"/>
        <w:jc w:val="both"/>
        <w:rPr>
          <w:color w:val="000000"/>
        </w:rPr>
      </w:pPr>
      <w:r>
        <w:rPr>
          <w:rFonts w:ascii="Times New Roman" w:hAnsi="Times New Roman"/>
          <w:color w:val="000000"/>
          <w:sz w:val="24"/>
          <w:szCs w:val="24"/>
        </w:rPr>
        <w:t>6.4. «Охрана» имеет право незамедлительно приостановить действие Договора в одностороннем порядке в следующих случаях:</w:t>
      </w:r>
    </w:p>
    <w:p>
      <w:pPr>
        <w:pStyle w:val="PlainText"/>
        <w:ind w:left="0" w:hanging="0"/>
        <w:jc w:val="both"/>
        <w:rPr>
          <w:color w:val="000000"/>
        </w:rPr>
      </w:pPr>
      <w:r>
        <w:rPr>
          <w:rFonts w:ascii="Times New Roman" w:hAnsi="Times New Roman"/>
          <w:color w:val="000000"/>
          <w:sz w:val="24"/>
          <w:szCs w:val="24"/>
        </w:rPr>
        <w:t>6.4.1. Неосуществления «Собственником» мероприятий и предложений «Охраны» по технической укрепленности объектов и оборудованию их средствами охраны в сроки, установленные актом обследования.</w:t>
      </w:r>
    </w:p>
    <w:p>
      <w:pPr>
        <w:pStyle w:val="PlainText"/>
        <w:ind w:left="0" w:hanging="0"/>
        <w:jc w:val="both"/>
        <w:rPr>
          <w:color w:val="000000"/>
        </w:rPr>
      </w:pPr>
      <w:r>
        <w:rPr>
          <w:rFonts w:ascii="Times New Roman" w:hAnsi="Times New Roman"/>
          <w:color w:val="000000"/>
          <w:sz w:val="24"/>
          <w:szCs w:val="24"/>
        </w:rPr>
        <w:t>6.4.2. В случае невыполнения «Собственником» П. 2.2.4. настоящего Договора.</w:t>
      </w:r>
    </w:p>
    <w:p>
      <w:pPr>
        <w:pStyle w:val="PlainText"/>
        <w:ind w:left="0" w:hanging="0"/>
        <w:jc w:val="both"/>
        <w:rPr>
          <w:color w:val="000000"/>
        </w:rPr>
      </w:pPr>
      <w:r>
        <w:rPr>
          <w:rFonts w:ascii="Times New Roman" w:hAnsi="Times New Roman"/>
          <w:color w:val="000000"/>
          <w:sz w:val="24"/>
          <w:szCs w:val="24"/>
        </w:rPr>
        <w:t>6.4.3. В случае просрочки оплаты «Собственником» услуг по настоящему Договору более чем на 15 дней.</w:t>
      </w:r>
    </w:p>
    <w:p>
      <w:pPr>
        <w:pStyle w:val="PlainText"/>
        <w:ind w:left="0" w:hanging="0"/>
        <w:jc w:val="both"/>
        <w:rPr>
          <w:color w:val="000000"/>
        </w:rPr>
      </w:pPr>
      <w:r>
        <w:rPr>
          <w:rFonts w:ascii="Times New Roman" w:hAnsi="Times New Roman"/>
          <w:color w:val="000000"/>
          <w:sz w:val="24"/>
          <w:szCs w:val="24"/>
        </w:rPr>
        <w:t>6.5. «Охрана» имеет право расторгнуть договор в одностороннем порядке с уведомлением «Собственника» в следующих случаях:</w:t>
      </w:r>
    </w:p>
    <w:p>
      <w:pPr>
        <w:pStyle w:val="PlainText"/>
        <w:ind w:left="0" w:hanging="0"/>
        <w:jc w:val="both"/>
        <w:rPr>
          <w:color w:val="000000"/>
        </w:rPr>
      </w:pPr>
      <w:r>
        <w:rPr>
          <w:rFonts w:ascii="Times New Roman" w:hAnsi="Times New Roman"/>
          <w:color w:val="000000"/>
          <w:sz w:val="24"/>
          <w:szCs w:val="24"/>
        </w:rPr>
        <w:t>6.5.1. в случае просрочки оплаты «Собственником» услуг по настоящему Договору более чем на один месяц.</w:t>
      </w:r>
    </w:p>
    <w:p>
      <w:pPr>
        <w:pStyle w:val="PlainText"/>
        <w:ind w:left="0" w:hanging="0"/>
        <w:jc w:val="both"/>
        <w:rPr>
          <w:color w:val="000000"/>
        </w:rPr>
      </w:pPr>
      <w:r>
        <w:rPr>
          <w:rFonts w:ascii="Times New Roman" w:hAnsi="Times New Roman"/>
          <w:color w:val="000000"/>
          <w:sz w:val="24"/>
          <w:szCs w:val="24"/>
        </w:rPr>
        <w:t>6.5.2. в случае отказа от оплаты услуг по измененному тарифу, устанавливаемому в соответствии с п. 5.5. настоящего Договора.</w:t>
      </w:r>
    </w:p>
    <w:p>
      <w:pPr>
        <w:pStyle w:val="PlainText"/>
        <w:ind w:left="0" w:hanging="0"/>
        <w:jc w:val="both"/>
        <w:rPr>
          <w:color w:val="000000"/>
        </w:rPr>
      </w:pPr>
      <w:r>
        <w:rPr>
          <w:rFonts w:ascii="Times New Roman" w:hAnsi="Times New Roman"/>
          <w:color w:val="000000"/>
          <w:sz w:val="24"/>
          <w:szCs w:val="24"/>
        </w:rPr>
        <w:t>6.5.3. При частых поступлениях сигнала «Тревога» на ПЦО с «Комплекса», связанных с ненадлежащим обслуживанием и неисправностью ТСО на охраняемом объекте.</w:t>
      </w:r>
    </w:p>
    <w:p>
      <w:pPr>
        <w:pStyle w:val="PlainText"/>
        <w:ind w:left="0" w:hanging="0"/>
        <w:jc w:val="both"/>
        <w:rPr>
          <w:color w:val="000000"/>
        </w:rPr>
      </w:pPr>
      <w:r>
        <w:rPr>
          <w:rFonts w:ascii="Times New Roman" w:hAnsi="Times New Roman"/>
          <w:color w:val="000000"/>
          <w:sz w:val="24"/>
          <w:szCs w:val="24"/>
        </w:rPr>
        <w:t>6.6. «Охрана» расторгает Договор в одностороннем порядке с уведомлением «Собственника» незамедлительно в случае возникновения спорных (конфликтных) ситуаций в отношении права собственности на охраняемое помещение.</w:t>
      </w:r>
    </w:p>
    <w:p>
      <w:pPr>
        <w:pStyle w:val="PlainText"/>
        <w:ind w:left="0" w:hanging="0"/>
        <w:jc w:val="both"/>
        <w:rPr>
          <w:color w:val="000000"/>
        </w:rPr>
      </w:pPr>
      <w:r>
        <w:rPr>
          <w:rFonts w:ascii="Times New Roman" w:hAnsi="Times New Roman"/>
          <w:color w:val="000000"/>
          <w:sz w:val="24"/>
          <w:szCs w:val="24"/>
        </w:rPr>
        <w:t>6.7. Все споры по настоящему Договору должны решаться Сторонами путем переговоров, в случае невозможности достичь согласия - в установленном законом порядке.</w:t>
      </w:r>
    </w:p>
    <w:p>
      <w:pPr>
        <w:pStyle w:val="PlainText"/>
        <w:ind w:left="0" w:hanging="0"/>
        <w:jc w:val="both"/>
        <w:rPr>
          <w:color w:val="000000"/>
        </w:rPr>
      </w:pPr>
      <w:r>
        <w:rPr>
          <w:rFonts w:ascii="Times New Roman" w:hAnsi="Times New Roman"/>
          <w:color w:val="000000"/>
          <w:sz w:val="24"/>
          <w:szCs w:val="24"/>
        </w:rPr>
        <w:t xml:space="preserve">6.8. Настоящий Договор с приложениями (№1 и №2) составлен в 2-х экземплярах, каждый из которых имеет одинаковую юридическую   силу, по одному для каждой из сторон.     </w:t>
      </w:r>
    </w:p>
    <w:p>
      <w:pPr>
        <w:pStyle w:val="PlainText"/>
        <w:ind w:left="0" w:hanging="0"/>
        <w:jc w:val="both"/>
        <w:rPr>
          <w:color w:val="000000"/>
        </w:rPr>
      </w:pPr>
      <w:r>
        <w:rPr>
          <w:rFonts w:ascii="Times New Roman" w:hAnsi="Times New Roman"/>
          <w:color w:val="000000"/>
          <w:sz w:val="24"/>
          <w:szCs w:val="24"/>
        </w:rPr>
        <w:t>6.9. Право подписи прилагаемых к настоящему договору документов и актов обследования имеют:</w:t>
      </w:r>
    </w:p>
    <w:p>
      <w:pPr>
        <w:pStyle w:val="PlainText"/>
        <w:ind w:left="0" w:hanging="0"/>
        <w:jc w:val="both"/>
        <w:rPr>
          <w:color w:val="000000"/>
        </w:rPr>
      </w:pPr>
      <w:r>
        <w:rPr>
          <w:rFonts w:ascii="Times New Roman" w:hAnsi="Times New Roman"/>
          <w:color w:val="000000"/>
          <w:sz w:val="24"/>
          <w:szCs w:val="24"/>
        </w:rPr>
        <w:t>со стороны «Собственника» (заполнить обязательно). _________________________________</w:t>
      </w:r>
    </w:p>
    <w:p>
      <w:pPr>
        <w:pStyle w:val="PlainText"/>
        <w:ind w:left="0" w:hanging="0"/>
        <w:rPr>
          <w:color w:val="000000"/>
        </w:rPr>
      </w:pPr>
      <w:r>
        <w:rPr>
          <w:rFonts w:ascii="Times New Roman" w:hAnsi="Times New Roman"/>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pPr>
        <w:pStyle w:val="PlainText"/>
        <w:ind w:left="0" w:hanging="0"/>
        <w:rPr>
          <w:color w:val="000000"/>
        </w:rPr>
      </w:pPr>
      <w:r>
        <w:rPr>
          <w:rFonts w:ascii="Times New Roman" w:hAnsi="Times New Roman"/>
          <w:color w:val="000000"/>
          <w:sz w:val="24"/>
          <w:szCs w:val="24"/>
        </w:rPr>
        <w:t>со стороны «Охраны»: офицерский, инспекторский и инженерный состав «Охраны»</w:t>
      </w:r>
    </w:p>
    <w:p>
      <w:pPr>
        <w:pStyle w:val="PlainText"/>
        <w:ind w:left="0" w:hanging="0"/>
        <w:rPr>
          <w:color w:val="000000"/>
        </w:rPr>
      </w:pPr>
      <w:r>
        <w:rPr>
          <w:rFonts w:ascii="Times New Roman" w:hAnsi="Times New Roman"/>
          <w:color w:val="000000"/>
          <w:sz w:val="24"/>
          <w:szCs w:val="24"/>
        </w:rPr>
        <w:t>________________________________________________________________________________________________________________________________________________________________</w:t>
      </w:r>
    </w:p>
    <w:p>
      <w:pPr>
        <w:pStyle w:val="PlainText"/>
        <w:ind w:left="0" w:hanging="0"/>
        <w:rPr>
          <w:rFonts w:ascii="Times New Roman" w:hAnsi="Times New Roman"/>
          <w:color w:val="000000"/>
          <w:sz w:val="24"/>
          <w:szCs w:val="24"/>
        </w:rPr>
      </w:pPr>
      <w:r>
        <w:rPr>
          <w:rFonts w:ascii="Times New Roman" w:hAnsi="Times New Roman"/>
          <w:color w:val="000000"/>
          <w:sz w:val="24"/>
          <w:szCs w:val="24"/>
        </w:rPr>
      </w:r>
    </w:p>
    <w:p>
      <w:pPr>
        <w:pStyle w:val="Normal"/>
        <w:shd w:val="clear" w:color="auto" w:fill="FFFFFF"/>
        <w:spacing w:lineRule="auto" w:line="218"/>
        <w:ind w:left="0" w:hanging="0"/>
        <w:rPr>
          <w:color w:val="000000"/>
        </w:rPr>
      </w:pPr>
      <w:r>
        <w:rPr>
          <w:rFonts w:ascii="Times New Roman" w:hAnsi="Times New Roman"/>
          <w:bCs/>
          <w:color w:val="000000"/>
          <w:sz w:val="24"/>
          <w:szCs w:val="24"/>
        </w:rPr>
        <w:t xml:space="preserve">      </w:t>
      </w:r>
      <w:r>
        <w:rPr>
          <w:rFonts w:ascii="Times New Roman" w:hAnsi="Times New Roman"/>
          <w:bCs/>
          <w:color w:val="000000"/>
          <w:sz w:val="24"/>
          <w:szCs w:val="24"/>
        </w:rPr>
        <w:t xml:space="preserve">7. Юридические адреса и банковские реквизиты сторон:   </w:t>
      </w:r>
    </w:p>
    <w:p>
      <w:pPr>
        <w:pStyle w:val="Normal"/>
        <w:shd w:val="clear" w:color="auto" w:fill="FFFFFF"/>
        <w:spacing w:lineRule="auto" w:line="218"/>
        <w:ind w:left="4262" w:firstLine="694"/>
        <w:rPr>
          <w:color w:val="000000"/>
        </w:rPr>
      </w:pPr>
      <w:r>
        <w:rPr>
          <w:rFonts w:ascii="Times New Roman" w:hAnsi="Times New Roman"/>
          <w:color w:val="000000"/>
          <w:sz w:val="24"/>
          <w:szCs w:val="24"/>
        </w:rPr>
        <w:t>«Охрана»</w:t>
      </w:r>
    </w:p>
    <w:tbl>
      <w:tblPr>
        <w:tblpPr w:bottomFromText="0" w:horzAnchor="margin" w:leftFromText="180" w:rightFromText="180" w:tblpX="182" w:tblpY="169" w:topFromText="0" w:vertAnchor="text"/>
        <w:tblW w:w="9963" w:type="dxa"/>
        <w:jc w:val="left"/>
        <w:tblInd w:w="0" w:type="dxa"/>
        <w:tblCellMar>
          <w:top w:w="0" w:type="dxa"/>
          <w:left w:w="40" w:type="dxa"/>
          <w:bottom w:w="0" w:type="dxa"/>
          <w:right w:w="40" w:type="dxa"/>
        </w:tblCellMar>
        <w:tblLook w:val="0000" w:noHBand="0" w:noVBand="0" w:firstColumn="0" w:lastRow="0" w:lastColumn="0" w:firstRow="0"/>
      </w:tblPr>
      <w:tblGrid>
        <w:gridCol w:w="9963"/>
      </w:tblGrid>
      <w:tr>
        <w:trPr>
          <w:trHeight w:val="47"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color w:val="000000"/>
              </w:rPr>
            </w:pPr>
            <w:r>
              <w:rPr>
                <w:rFonts w:ascii="Times New Roman" w:hAnsi="Times New Roman"/>
                <w:color w:val="000000"/>
                <w:sz w:val="24"/>
                <w:szCs w:val="24"/>
                <w:lang w:val="en-US"/>
              </w:rPr>
              <w:t xml:space="preserve"> </w:t>
            </w:r>
          </w:p>
        </w:tc>
      </w:tr>
      <w:tr>
        <w:trPr>
          <w:trHeight w:val="258"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75"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53"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53" w:hRule="atLeast"/>
        </w:trPr>
        <w:tc>
          <w:tcPr>
            <w:tcW w:w="9963" w:type="dxa"/>
            <w:tcBorders>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70"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70" w:hRule="atLeast"/>
        </w:trPr>
        <w:tc>
          <w:tcPr>
            <w:tcW w:w="9963" w:type="dxa"/>
            <w:tcBorders>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70" w:hRule="atLeast"/>
        </w:trPr>
        <w:tc>
          <w:tcPr>
            <w:tcW w:w="9963" w:type="dxa"/>
            <w:tcBorders>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61"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bl>
    <w:p>
      <w:pPr>
        <w:pStyle w:val="Normal"/>
        <w:spacing w:lineRule="auto" w:line="228"/>
        <w:jc w:val="center"/>
        <w:rPr>
          <w:color w:val="000000"/>
        </w:rPr>
      </w:pPr>
      <w:r>
        <w:rPr>
          <w:rFonts w:ascii="Times New Roman" w:hAnsi="Times New Roman"/>
          <w:color w:val="000000"/>
          <w:sz w:val="24"/>
          <w:szCs w:val="24"/>
        </w:rPr>
        <w:t>«Собственник»</w:t>
      </w:r>
    </w:p>
    <w:tbl>
      <w:tblPr>
        <w:tblpPr w:bottomFromText="0" w:horzAnchor="margin" w:leftFromText="180" w:rightFromText="180" w:tblpX="182" w:tblpY="156" w:topFromText="0" w:vertAnchor="text"/>
        <w:tblW w:w="9963" w:type="dxa"/>
        <w:jc w:val="left"/>
        <w:tblInd w:w="0" w:type="dxa"/>
        <w:tblCellMar>
          <w:top w:w="0" w:type="dxa"/>
          <w:left w:w="40" w:type="dxa"/>
          <w:bottom w:w="0" w:type="dxa"/>
          <w:right w:w="40" w:type="dxa"/>
        </w:tblCellMar>
        <w:tblLook w:val="0000" w:noHBand="0" w:noVBand="0" w:firstColumn="0" w:lastRow="0" w:lastColumn="0" w:firstRow="0"/>
      </w:tblPr>
      <w:tblGrid>
        <w:gridCol w:w="9963"/>
      </w:tblGrid>
      <w:tr>
        <w:trPr>
          <w:trHeight w:val="47"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58"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75"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53"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53" w:hRule="atLeast"/>
        </w:trPr>
        <w:tc>
          <w:tcPr>
            <w:tcW w:w="9963" w:type="dxa"/>
            <w:tcBorders>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53" w:hRule="atLeast"/>
        </w:trPr>
        <w:tc>
          <w:tcPr>
            <w:tcW w:w="9963" w:type="dxa"/>
            <w:tcBorders>
              <w:left w:val="single" w:sz="6" w:space="0" w:color="000000"/>
              <w:bottom w:val="single" w:sz="6" w:space="0" w:color="000000"/>
              <w:right w:val="single" w:sz="6" w:space="0" w:color="000000"/>
            </w:tcBorders>
          </w:tcPr>
          <w:p>
            <w:pPr>
              <w:pStyle w:val="Normal"/>
              <w:widowControl w:val="false"/>
              <w:shd w:val="clear" w:color="auto" w:fill="FFFFFF"/>
              <w:spacing w:before="0" w:after="200"/>
              <w:ind w:left="-284" w:hanging="0"/>
              <w:jc w:val="center"/>
              <w:rPr>
                <w:rFonts w:ascii="Times New Roman" w:hAnsi="Times New Roman"/>
                <w:color w:val="000000"/>
                <w:sz w:val="24"/>
                <w:szCs w:val="24"/>
              </w:rPr>
            </w:pPr>
            <w:r>
              <w:rPr>
                <w:rFonts w:ascii="Times New Roman" w:hAnsi="Times New Roman"/>
                <w:color w:val="000000"/>
                <w:sz w:val="24"/>
                <w:szCs w:val="24"/>
              </w:rPr>
            </w:r>
          </w:p>
        </w:tc>
      </w:tr>
      <w:tr>
        <w:trPr>
          <w:trHeight w:val="270"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rPr>
                <w:rFonts w:ascii="Times New Roman" w:hAnsi="Times New Roman"/>
                <w:color w:val="000000"/>
                <w:sz w:val="24"/>
                <w:szCs w:val="24"/>
              </w:rPr>
            </w:pPr>
            <w:r>
              <w:rPr>
                <w:rFonts w:ascii="Times New Roman" w:hAnsi="Times New Roman"/>
                <w:color w:val="000000"/>
                <w:sz w:val="24"/>
                <w:szCs w:val="24"/>
              </w:rPr>
            </w:r>
          </w:p>
        </w:tc>
      </w:tr>
      <w:tr>
        <w:trPr>
          <w:trHeight w:val="270" w:hRule="atLeast"/>
        </w:trPr>
        <w:tc>
          <w:tcPr>
            <w:tcW w:w="9963" w:type="dxa"/>
            <w:tcBorders>
              <w:top w:val="single" w:sz="6" w:space="0" w:color="000000"/>
              <w:left w:val="single" w:sz="6" w:space="0" w:color="000000"/>
              <w:bottom w:val="single" w:sz="6" w:space="0" w:color="000000"/>
              <w:right w:val="single" w:sz="6" w:space="0" w:color="000000"/>
            </w:tcBorders>
          </w:tcPr>
          <w:p>
            <w:pPr>
              <w:pStyle w:val="Normal"/>
              <w:widowControl w:val="false"/>
              <w:shd w:val="clear" w:color="auto" w:fill="FFFFFF"/>
              <w:spacing w:before="0" w:after="200"/>
              <w:rPr>
                <w:rFonts w:ascii="Times New Roman" w:hAnsi="Times New Roman"/>
                <w:color w:val="000000"/>
                <w:sz w:val="24"/>
                <w:szCs w:val="24"/>
              </w:rPr>
            </w:pPr>
            <w:r>
              <w:rPr>
                <w:rFonts w:ascii="Times New Roman" w:hAnsi="Times New Roman"/>
                <w:color w:val="000000"/>
                <w:sz w:val="24"/>
                <w:szCs w:val="24"/>
              </w:rPr>
            </w:r>
          </w:p>
        </w:tc>
      </w:tr>
    </w:tbl>
    <w:p>
      <w:pPr>
        <w:pStyle w:val="Normal"/>
        <w:rPr>
          <w:rFonts w:ascii="Times New Roman" w:hAnsi="Times New Roman"/>
          <w:color w:val="000000"/>
          <w:sz w:val="24"/>
          <w:szCs w:val="24"/>
          <w:lang w:val="en-US"/>
        </w:rPr>
      </w:pPr>
      <w:r>
        <w:rPr>
          <w:rFonts w:ascii="Times New Roman" w:hAnsi="Times New Roman"/>
          <w:color w:val="000000"/>
          <w:sz w:val="24"/>
          <w:szCs w:val="24"/>
          <w:lang w:val="en-US"/>
        </w:rPr>
      </w:r>
    </w:p>
    <w:p>
      <w:pPr>
        <w:pStyle w:val="Normal"/>
        <w:rPr>
          <w:color w:val="000000"/>
        </w:rPr>
      </w:pPr>
      <w:r>
        <w:rPr>
          <w:rFonts w:ascii="Times New Roman" w:hAnsi="Times New Roman"/>
          <w:color w:val="000000"/>
          <w:sz w:val="24"/>
          <w:szCs w:val="24"/>
        </w:rPr>
        <w:t>«</w:t>
      </w:r>
      <w:r>
        <w:rPr>
          <w:rFonts w:ascii="Times New Roman" w:hAnsi="Times New Roman"/>
          <w:b/>
          <w:color w:val="000000"/>
          <w:sz w:val="24"/>
          <w:szCs w:val="24"/>
        </w:rPr>
        <w:t>Охрана</w:t>
      </w:r>
      <w:r>
        <w:rPr>
          <w:rFonts w:ascii="Times New Roman" w:hAnsi="Times New Roman"/>
          <w:color w:val="000000"/>
          <w:sz w:val="24"/>
          <w:szCs w:val="24"/>
        </w:rPr>
        <w:t>»</w:t>
      </w:r>
    </w:p>
    <w:p>
      <w:pPr>
        <w:pStyle w:val="Normal"/>
        <w:rPr>
          <w:color w:val="000000"/>
        </w:rPr>
      </w:pPr>
      <w:r>
        <w:rPr>
          <w:rFonts w:ascii="Times New Roman" w:hAnsi="Times New Roman"/>
          <w:color w:val="000000"/>
          <w:sz w:val="24"/>
          <w:szCs w:val="24"/>
        </w:rPr>
        <w:t>Начальник ________________</w:t>
      </w:r>
    </w:p>
    <w:p>
      <w:pPr>
        <w:pStyle w:val="Normal"/>
        <w:rPr>
          <w:color w:val="000000"/>
        </w:rPr>
      </w:pPr>
      <w:r>
        <w:rPr>
          <w:rFonts w:ascii="Times New Roman" w:hAnsi="Times New Roman"/>
          <w:color w:val="000000"/>
          <w:sz w:val="24"/>
          <w:szCs w:val="24"/>
        </w:rPr>
        <w:t>__________________________</w:t>
      </w:r>
    </w:p>
    <w:p>
      <w:pPr>
        <w:pStyle w:val="Normal"/>
        <w:rPr>
          <w:color w:val="000000"/>
        </w:rPr>
      </w:pPr>
      <w:r>
        <w:rPr>
          <w:rFonts w:ascii="Times New Roman" w:hAnsi="Times New Roman"/>
          <w:color w:val="000000"/>
          <w:sz w:val="24"/>
          <w:szCs w:val="24"/>
        </w:rPr>
        <w:t>__________________________</w:t>
      </w:r>
    </w:p>
    <w:p>
      <w:pPr>
        <w:pStyle w:val="Normal"/>
        <w:spacing w:lineRule="auto" w:line="228"/>
        <w:rPr>
          <w:color w:val="000000"/>
        </w:rPr>
      </w:pPr>
      <w:r>
        <w:rPr>
          <w:rFonts w:ascii="Times New Roman" w:hAnsi="Times New Roman"/>
          <w:b/>
          <w:color w:val="000000"/>
          <w:sz w:val="24"/>
          <w:szCs w:val="24"/>
        </w:rPr>
        <w:t>__________________________</w:t>
        <w:tab/>
      </w:r>
      <w:r>
        <w:rPr>
          <w:rFonts w:ascii="Times New Roman" w:hAnsi="Times New Roman"/>
          <w:color w:val="000000"/>
          <w:sz w:val="24"/>
          <w:szCs w:val="24"/>
        </w:rPr>
        <w:tab/>
        <w:tab/>
        <w:tab/>
        <w:t xml:space="preserve">                             «___» _________20___ г.</w:t>
      </w:r>
    </w:p>
    <w:p>
      <w:pPr>
        <w:pStyle w:val="Normal"/>
        <w:spacing w:lineRule="auto" w:line="228"/>
        <w:rPr>
          <w:color w:val="000000"/>
        </w:rPr>
      </w:pPr>
      <w:r>
        <w:rPr>
          <w:rFonts w:ascii="Times New Roman" w:hAnsi="Times New Roman"/>
          <w:color w:val="000000"/>
          <w:sz w:val="24"/>
          <w:szCs w:val="24"/>
          <w:vertAlign w:val="superscript"/>
        </w:rPr>
        <w:t xml:space="preserve">            </w:t>
      </w:r>
      <w:r>
        <w:rPr>
          <w:rFonts w:ascii="Times New Roman" w:hAnsi="Times New Roman"/>
          <w:color w:val="000000"/>
          <w:sz w:val="24"/>
          <w:szCs w:val="24"/>
          <w:vertAlign w:val="superscript"/>
        </w:rPr>
        <w:t>подпись</w:t>
        <w:tab/>
        <w:tab/>
        <w:tab/>
        <w:tab/>
        <w:t xml:space="preserve">                              </w:t>
      </w:r>
      <w:r>
        <w:rPr>
          <w:rFonts w:ascii="Times New Roman" w:hAnsi="Times New Roman"/>
          <w:color w:val="000000"/>
          <w:sz w:val="24"/>
          <w:szCs w:val="24"/>
        </w:rPr>
        <w:t>М.П.</w:t>
      </w:r>
    </w:p>
    <w:p>
      <w:pPr>
        <w:pStyle w:val="Normal"/>
        <w:spacing w:lineRule="auto" w:line="228"/>
        <w:rPr>
          <w:color w:val="000000"/>
        </w:rPr>
      </w:pPr>
      <w:r>
        <w:rPr>
          <w:rFonts w:ascii="Times New Roman" w:hAnsi="Times New Roman"/>
          <w:b/>
          <w:color w:val="000000"/>
          <w:sz w:val="24"/>
          <w:szCs w:val="24"/>
        </w:rPr>
        <w:t>«Собственник»</w:t>
      </w:r>
    </w:p>
    <w:p>
      <w:pPr>
        <w:pStyle w:val="Normal"/>
        <w:rPr>
          <w:color w:val="000000"/>
        </w:rPr>
      </w:pPr>
      <w:r>
        <w:rPr>
          <w:rFonts w:ascii="Times New Roman" w:hAnsi="Times New Roman"/>
          <w:color w:val="000000"/>
          <w:sz w:val="24"/>
          <w:szCs w:val="24"/>
        </w:rPr>
        <w:t>Начальник ________________</w:t>
      </w:r>
    </w:p>
    <w:p>
      <w:pPr>
        <w:pStyle w:val="Normal"/>
        <w:rPr>
          <w:color w:val="000000"/>
        </w:rPr>
      </w:pPr>
      <w:r>
        <w:rPr>
          <w:rFonts w:ascii="Times New Roman" w:hAnsi="Times New Roman"/>
          <w:color w:val="000000"/>
          <w:sz w:val="24"/>
          <w:szCs w:val="24"/>
        </w:rPr>
        <w:t>__________________________</w:t>
      </w:r>
    </w:p>
    <w:p>
      <w:pPr>
        <w:pStyle w:val="Normal"/>
        <w:rPr>
          <w:color w:val="000000"/>
        </w:rPr>
      </w:pPr>
      <w:r>
        <w:rPr>
          <w:rFonts w:ascii="Times New Roman" w:hAnsi="Times New Roman"/>
          <w:color w:val="000000"/>
          <w:sz w:val="24"/>
          <w:szCs w:val="24"/>
        </w:rPr>
        <w:t>__________________________</w:t>
      </w:r>
    </w:p>
    <w:p>
      <w:pPr>
        <w:pStyle w:val="Normal"/>
        <w:spacing w:lineRule="auto" w:line="228"/>
        <w:rPr>
          <w:color w:val="000000"/>
        </w:rPr>
      </w:pPr>
      <w:r>
        <w:rPr>
          <w:rFonts w:ascii="Times New Roman" w:hAnsi="Times New Roman"/>
          <w:b/>
          <w:color w:val="000000"/>
          <w:sz w:val="24"/>
          <w:szCs w:val="24"/>
        </w:rPr>
        <w:t>__________________________</w:t>
      </w:r>
      <w:r>
        <w:rPr>
          <w:rFonts w:ascii="Times New Roman" w:hAnsi="Times New Roman"/>
          <w:color w:val="000000"/>
          <w:sz w:val="24"/>
          <w:szCs w:val="24"/>
        </w:rPr>
        <w:tab/>
        <w:tab/>
        <w:tab/>
        <w:tab/>
        <w:t xml:space="preserve">                             «___» _________20___ г.</w:t>
      </w:r>
    </w:p>
    <w:p>
      <w:pPr>
        <w:pStyle w:val="Normal"/>
        <w:spacing w:lineRule="auto" w:line="228" w:before="0" w:after="200"/>
        <w:rPr>
          <w:color w:val="000000"/>
        </w:rPr>
      </w:pPr>
      <w:r>
        <w:rPr>
          <w:rFonts w:ascii="Times New Roman" w:hAnsi="Times New Roman"/>
          <w:color w:val="000000"/>
          <w:sz w:val="24"/>
          <w:szCs w:val="24"/>
          <w:vertAlign w:val="superscript"/>
        </w:rPr>
        <w:t xml:space="preserve">            </w:t>
      </w:r>
      <w:r>
        <w:rPr>
          <w:rFonts w:ascii="Times New Roman" w:hAnsi="Times New Roman"/>
          <w:color w:val="000000"/>
          <w:sz w:val="24"/>
          <w:szCs w:val="24"/>
          <w:vertAlign w:val="superscript"/>
        </w:rPr>
        <w:t>подпись</w:t>
        <w:tab/>
        <w:tab/>
        <w:tab/>
        <w:tab/>
        <w:t xml:space="preserve">                              </w:t>
      </w:r>
      <w:r>
        <w:rPr>
          <w:rFonts w:ascii="Times New Roman" w:hAnsi="Times New Roman"/>
          <w:color w:val="000000"/>
          <w:sz w:val="24"/>
          <w:szCs w:val="24"/>
        </w:rPr>
        <w:t xml:space="preserve">М.П. </w:t>
      </w:r>
    </w:p>
    <w:sectPr>
      <w:headerReference w:type="default" r:id="rId2"/>
      <w:type w:val="nextPage"/>
      <w:pgSz w:w="11906" w:h="16838"/>
      <w:pgMar w:left="1334" w:right="566" w:header="708"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Consolas">
    <w:charset w:val="01"/>
    <w:family w:val="swiss"/>
    <w:pitch w:val="default"/>
  </w:font>
  <w:font w:name="Times New Roman">
    <w:charset w:val="01"/>
    <w:family w:val="swiss"/>
    <w:pitch w:val="default"/>
  </w:font>
  <w:font w:name="Courier New">
    <w:charset w:val="01"/>
    <w:family w:val="swiss"/>
    <w:pitch w:val="default"/>
  </w:font>
  <w:font w:name="Liberation Sans">
    <w:altName w:val="Arial"/>
    <w:charset w:val="01"/>
    <w:family w:val="swiss"/>
    <w:pitch w:val="default"/>
  </w:font>
  <w:font w:name="Tahoma">
    <w:charset w:val="01"/>
    <w:family w:val="swiss"/>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mc:AlternateContent>
        <mc:Choice Requires="wps">
          <w:drawing>
            <wp:anchor behindDoc="1" distT="0" distB="0" distL="0" distR="0" simplePos="0" locked="0" layoutInCell="1" allowOverlap="1" relativeHeight="8">
              <wp:simplePos x="0" y="0"/>
              <wp:positionH relativeFrom="margin">
                <wp:align>center</wp:align>
              </wp:positionH>
              <wp:positionV relativeFrom="paragraph">
                <wp:posOffset>635</wp:posOffset>
              </wp:positionV>
              <wp:extent cx="15240" cy="146050"/>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5440"/>
                      </a:xfrm>
                      <a:prstGeom prst="rect">
                        <a:avLst/>
                      </a:prstGeom>
                      <a:noFill/>
                      <a:ln>
                        <a:noFill/>
                      </a:ln>
                    </wps:spPr>
                    <wps:style>
                      <a:lnRef idx="0"/>
                      <a:fillRef idx="0"/>
                      <a:effectRef idx="0"/>
                      <a:fontRef idx="minor"/>
                    </wps:style>
                    <wps:txbx>
                      <w:txbxContent>
                        <w:p>
                          <w:pPr>
                            <w:pStyle w:val="Style23"/>
                            <w:rPr>
                              <w:rStyle w:val="Pagenumber"/>
                            </w:rPr>
                          </w:pPr>
                          <w:r>
                            <w:rPr/>
                          </w:r>
                        </w:p>
                      </w:txbxContent>
                    </wps:txbx>
                    <wps:bodyPr lIns="0" rIns="0" tIns="0" bIns="0">
                      <a:spAutoFit/>
                    </wps:bodyPr>
                  </wps:wsp>
                </a:graphicData>
              </a:graphic>
            </wp:anchor>
          </w:drawing>
        </mc:Choice>
        <mc:Fallback>
          <w:pict>
            <v:rect id="shape_0" ID="Врезка1" fillcolor="white" stroked="f" style="position:absolute;margin-left:249.55pt;margin-top:0.05pt;width:1.1pt;height:11.4pt;mso-position-horizontal:center;mso-position-horizontal-relative:margin">
              <w10:wrap type="none"/>
              <v:fill o:detectmouseclick="t" type="solid" color2="black" opacity="0"/>
              <v:stroke color="#3465a4" joinstyle="round" endcap="flat"/>
              <v:textbox>
                <w:txbxContent>
                  <w:p>
                    <w:pPr>
                      <w:pStyle w:val="Style23"/>
                      <w:rPr>
                        <w:rStyle w:val="Pagenumber"/>
                      </w:rPr>
                    </w:pPr>
                    <w:r>
                      <w:rPr/>
                    </w:r>
                  </w:p>
                </w:txbxContent>
              </v:textbox>
            </v:rect>
          </w:pict>
        </mc:Fallback>
      </mc:AlternateContent>
    </w:r>
  </w:p>
</w:hdr>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044715"/>
    <w:pPr>
      <w:widowControl/>
      <w:suppressAutoHyphens w:val="true"/>
      <w:bidi w:val="0"/>
      <w:spacing w:before="0" w:after="200"/>
      <w:ind w:left="357" w:hanging="0"/>
      <w:jc w:val="left"/>
    </w:pPr>
    <w:rPr>
      <w:rFonts w:ascii="Calibri" w:hAnsi="Calibri" w:eastAsia="Calibri" w:cs="Times New Roman"/>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Знак"/>
    <w:link w:val="a3"/>
    <w:qFormat/>
    <w:rsid w:val="006300f4"/>
    <w:rPr>
      <w:rFonts w:ascii="Consolas" w:hAnsi="Consolas"/>
      <w:sz w:val="21"/>
      <w:szCs w:val="21"/>
    </w:rPr>
  </w:style>
  <w:style w:type="character" w:styleId="Style15" w:customStyle="1">
    <w:name w:val="Верхний колонтитул Знак"/>
    <w:link w:val="a5"/>
    <w:semiHidden/>
    <w:qFormat/>
    <w:rsid w:val="00a938e0"/>
    <w:rPr>
      <w:rFonts w:ascii="Times New Roman" w:hAnsi="Times New Roman" w:eastAsia="Times New Roman" w:cs="Times New Roman"/>
      <w:sz w:val="20"/>
      <w:szCs w:val="20"/>
      <w:lang w:eastAsia="ru-RU"/>
    </w:rPr>
  </w:style>
  <w:style w:type="character" w:styleId="Pagenumber">
    <w:name w:val="page number"/>
    <w:basedOn w:val="DefaultParagraphFont"/>
    <w:semiHidden/>
    <w:qFormat/>
    <w:rsid w:val="00a938e0"/>
    <w:rPr/>
  </w:style>
  <w:style w:type="character" w:styleId="HTML" w:customStyle="1">
    <w:name w:val="Стандартный HTML Знак"/>
    <w:link w:val="HTML"/>
    <w:uiPriority w:val="99"/>
    <w:qFormat/>
    <w:rsid w:val="001212e1"/>
    <w:rPr>
      <w:rFonts w:ascii="Courier New" w:hAnsi="Courier New" w:eastAsia="Times New Roman" w:cs="Courier New"/>
    </w:rPr>
  </w:style>
  <w:style w:type="character" w:styleId="Style16" w:customStyle="1">
    <w:name w:val="Нижний колонтитул Знак"/>
    <w:link w:val="a9"/>
    <w:uiPriority w:val="99"/>
    <w:semiHidden/>
    <w:qFormat/>
    <w:rsid w:val="00b94c2d"/>
    <w:rPr>
      <w:sz w:val="22"/>
      <w:szCs w:val="22"/>
      <w:lang w:eastAsia="en-US"/>
    </w:rPr>
  </w:style>
  <w:style w:type="character" w:styleId="IntenseReference">
    <w:name w:val="Intense Reference"/>
    <w:uiPriority w:val="32"/>
    <w:qFormat/>
    <w:rsid w:val="00162773"/>
    <w:rPr>
      <w:b/>
      <w:bCs/>
      <w:smallCaps/>
      <w:color w:val="C0504D"/>
      <w:spacing w:val="5"/>
      <w:u w:val="single"/>
    </w:rPr>
  </w:style>
  <w:style w:type="paragraph" w:styleId="Style17">
    <w:name w:val="Заголовок"/>
    <w:basedOn w:val="Normal"/>
    <w:next w:val="Style18"/>
    <w:qFormat/>
    <w:pPr>
      <w:keepNext w:val="true"/>
      <w:spacing w:before="240" w:after="120"/>
    </w:pPr>
    <w:rPr>
      <w:rFonts w:ascii="Liberation Sans" w:hAnsi="Liberation Sans"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cs="Noto Sans Devanagari"/>
    </w:rPr>
  </w:style>
  <w:style w:type="paragraph" w:styleId="Style20">
    <w:name w:val="Caption"/>
    <w:basedOn w:val="Normal"/>
    <w:qFormat/>
    <w:pPr>
      <w:suppressLineNumbers/>
      <w:spacing w:before="120" w:after="120"/>
    </w:pPr>
    <w:rPr>
      <w:rFonts w:cs="Noto Sans Devanagari"/>
      <w:i/>
      <w:iCs/>
      <w:sz w:val="24"/>
      <w:szCs w:val="24"/>
    </w:rPr>
  </w:style>
  <w:style w:type="paragraph" w:styleId="Style21">
    <w:name w:val="Указатель"/>
    <w:basedOn w:val="Normal"/>
    <w:qFormat/>
    <w:pPr>
      <w:suppressLineNumbers/>
    </w:pPr>
    <w:rPr>
      <w:rFonts w:cs="Noto Sans Devanagari"/>
    </w:rPr>
  </w:style>
  <w:style w:type="paragraph" w:styleId="PlainText">
    <w:name w:val="Plain Text"/>
    <w:basedOn w:val="Normal"/>
    <w:link w:val="a4"/>
    <w:unhideWhenUsed/>
    <w:qFormat/>
    <w:rsid w:val="006300f4"/>
    <w:pPr>
      <w:spacing w:before="0" w:after="0"/>
    </w:pPr>
    <w:rPr>
      <w:rFonts w:ascii="Consolas" w:hAnsi="Consolas"/>
      <w:sz w:val="21"/>
      <w:szCs w:val="21"/>
    </w:rPr>
  </w:style>
  <w:style w:type="paragraph" w:styleId="Style22">
    <w:name w:val="Верхний и нижний колонтитулы"/>
    <w:basedOn w:val="Normal"/>
    <w:qFormat/>
    <w:pPr/>
    <w:rPr/>
  </w:style>
  <w:style w:type="paragraph" w:styleId="Style23">
    <w:name w:val="Header"/>
    <w:basedOn w:val="Normal"/>
    <w:link w:val="a6"/>
    <w:semiHidden/>
    <w:rsid w:val="00a938e0"/>
    <w:pPr>
      <w:widowControl w:val="false"/>
      <w:tabs>
        <w:tab w:val="clear" w:pos="708"/>
        <w:tab w:val="center" w:pos="4677" w:leader="none"/>
        <w:tab w:val="right" w:pos="9355" w:leader="none"/>
      </w:tabs>
      <w:spacing w:before="0" w:after="0"/>
      <w:ind w:left="0" w:hanging="0"/>
    </w:pPr>
    <w:rPr>
      <w:rFonts w:ascii="Times New Roman" w:hAnsi="Times New Roman" w:eastAsia="Times New Roman"/>
      <w:sz w:val="20"/>
      <w:szCs w:val="20"/>
      <w:lang w:eastAsia="ru-RU"/>
    </w:rPr>
  </w:style>
  <w:style w:type="paragraph" w:styleId="BalloonText">
    <w:name w:val="Balloon Text"/>
    <w:basedOn w:val="Normal"/>
    <w:semiHidden/>
    <w:qFormat/>
    <w:rsid w:val="006803e3"/>
    <w:pPr/>
    <w:rPr>
      <w:rFonts w:ascii="Tahoma" w:hAnsi="Tahoma" w:cs="Tahoma"/>
      <w:sz w:val="16"/>
      <w:szCs w:val="16"/>
    </w:rPr>
  </w:style>
  <w:style w:type="paragraph" w:styleId="HTMLPreformatted">
    <w:name w:val="HTML Preformatted"/>
    <w:basedOn w:val="Normal"/>
    <w:link w:val="HTML0"/>
    <w:uiPriority w:val="99"/>
    <w:unhideWhenUsed/>
    <w:qFormat/>
    <w:rsid w:val="001212e1"/>
    <w:pPr>
      <w:tabs>
        <w:tab w:val="clear" w:pos="708"/>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ind w:left="0" w:hanging="0"/>
    </w:pPr>
    <w:rPr>
      <w:rFonts w:ascii="Courier New" w:hAnsi="Courier New" w:eastAsia="Times New Roman" w:cs="Courier New"/>
      <w:sz w:val="20"/>
      <w:szCs w:val="20"/>
      <w:lang w:eastAsia="ru-RU"/>
    </w:rPr>
  </w:style>
  <w:style w:type="paragraph" w:styleId="Style24">
    <w:name w:val="Footer"/>
    <w:basedOn w:val="Normal"/>
    <w:link w:val="aa"/>
    <w:uiPriority w:val="99"/>
    <w:semiHidden/>
    <w:unhideWhenUsed/>
    <w:rsid w:val="00b94c2d"/>
    <w:pPr>
      <w:tabs>
        <w:tab w:val="clear" w:pos="708"/>
        <w:tab w:val="center" w:pos="4677" w:leader="none"/>
        <w:tab w:val="right" w:pos="9355" w:leader="none"/>
      </w:tabs>
    </w:pPr>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212628-DCA3-4CD2-808A-01E56F12E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Типовой договор на оказание охранных услуг</Template>
  <TotalTime>83</TotalTime>
  <Application>LibreOffice/6.4.7.2$Linux_X86_64 LibreOffice_project/40$Build-2</Application>
  <Pages>7</Pages>
  <Words>2271</Words>
  <Characters>16969</Characters>
  <CharactersWithSpaces>19647</CharactersWithSpaces>
  <Paragraphs>112</Paragraphs>
  <Company>Your Company Name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2019-01-11T09:04:00Z</dcterms:created>
  <dc:creator>User</dc:creator>
  <dc:description/>
  <dc:language>ru-RU</dc:language>
  <cp:lastModifiedBy/>
  <cp:lastPrinted>2019-01-15T11:32:00Z</cp:lastPrinted>
  <dcterms:modified xsi:type="dcterms:W3CDTF">2025-07-16T16:39:43Z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Your Company Name</vt:lpwstr>
  </property>
</Properties>
</file>